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21 meter från avverkningsanmälan finns fynd av 19 naturvårdsarter, varav 16 är rödlistade, 5 är fridlysta, 13 är typiska (T) och 1 är signalart (S): urskogsporing (EN), fläckporing (VU, T), garnlav (VU, T), skuggnål (VU), dropptaggsvamp (NT, T), gammelgransskål (NT, T), knottrig blåslav (NT, T), lavskrika (NT, T, §4), mörk kolflarnlav (NT), stjärntagging (NT, T), talltita (NT, §4), tretåig hackspett (NT, T, §4), ullticka (NT, T), vaddporing (NT), vedskivlav (NT, T), violmussling (NT, T), bårdlav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