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16008-2024 i Pajala kommun</w:t>
      </w:r>
    </w:p>
    <w:p>
      <w:r>
        <w:t>Denna tillsynsbegäran behandlar höga naturvärden i avverkningsanmälan A 16008-2024 i Pajala kommun som inkom 2024-04-23 och omfattar 32,4 ha.</w:t>
      </w:r>
    </w:p>
    <w:p>
      <w:pPr>
        <w:pStyle w:val="Caption"/>
      </w:pPr>
      <w:r>
        <w:drawing>
          <wp:inline xmlns:a="http://schemas.openxmlformats.org/drawingml/2006/main" xmlns:pic="http://schemas.openxmlformats.org/drawingml/2006/picture">
            <wp:extent cx="5486400" cy="5220871"/>
            <wp:docPr id="1" name="Picture 1"/>
            <wp:cNvGraphicFramePr>
              <a:graphicFrameLocks noChangeAspect="1"/>
            </wp:cNvGraphicFramePr>
            <a:graphic>
              <a:graphicData uri="http://schemas.openxmlformats.org/drawingml/2006/picture">
                <pic:pic>
                  <pic:nvPicPr>
                    <pic:cNvPr id="0" name="A 16008-2024 karta.png"/>
                    <pic:cNvPicPr/>
                  </pic:nvPicPr>
                  <pic:blipFill>
                    <a:blip r:embed="rId16"/>
                    <a:stretch>
                      <a:fillRect/>
                    </a:stretch>
                  </pic:blipFill>
                  <pic:spPr>
                    <a:xfrm>
                      <a:off x="0" y="0"/>
                      <a:ext cx="5486400" cy="5220871"/>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7428356, E 859621 i SWEREF 99 TM.</w:t>
      </w:r>
    </w:p>
    <w:p>
      <w:r>
        <w:t>I och inom 23 meter från avverkningsanmälan finns fynd av 11 naturvårdsarter, varav 7 är rödlistade, 3 är fridlysta, 7 är typiska (T) och 3 är signalarter (S): garnlav (VU, T), dvärgbägarlav (NT, T), kolflarnlav (NT, T), nordtagging (NT), talltita (NT, §4), vedflamlav (NT), vedskivlav (NT, T), bronshjon (S, T), plattlummer (S, T, §9), skinnlav (S,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0.05 ha med buffertzonerna och får av detta skäl inte avverkas.</w:t>
      </w:r>
    </w:p>
    <w:p>
      <w:pPr>
        <w:pStyle w:val="Caption"/>
      </w:pPr>
      <w:r>
        <w:drawing>
          <wp:inline xmlns:a="http://schemas.openxmlformats.org/drawingml/2006/main" xmlns:pic="http://schemas.openxmlformats.org/drawingml/2006/picture">
            <wp:extent cx="5486400" cy="6583680"/>
            <wp:docPr id="2" name="Picture 2"/>
            <wp:cNvGraphicFramePr>
              <a:graphicFrameLocks noChangeAspect="1"/>
            </wp:cNvGraphicFramePr>
            <a:graphic>
              <a:graphicData uri="http://schemas.openxmlformats.org/drawingml/2006/picture">
                <pic:pic>
                  <pic:nvPicPr>
                    <pic:cNvPr id="0" name="A 16008-2024 karta knärot.png"/>
                    <pic:cNvPicPr/>
                  </pic:nvPicPr>
                  <pic:blipFill>
                    <a:blip r:embed="rId17"/>
                    <a:stretch>
                      <a:fillRect/>
                    </a:stretch>
                  </pic:blipFill>
                  <pic:spPr>
                    <a:xfrm>
                      <a:off x="0" y="0"/>
                      <a:ext cx="5486400" cy="658368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7428356, E 859621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dvärgbägarlav (NT, T), kolflarnlav (NT, T), vedskivlav (NT, T), bronshjon (S, T), plattlummer (S, T, §9) och skinnlav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