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30670-2026 i Pajala kommun</w:t>
      </w:r>
    </w:p>
    <w:p>
      <w:r>
        <w:t>Detta klagomål behandlar höga naturvärden i avverkningsanmälan A 30670-2026 i Pajala kommun som inkom 2026-07-08 och omfattar 18,2 ha.</w:t>
      </w:r>
    </w:p>
    <w:p>
      <w:pPr>
        <w:pStyle w:val="Caption"/>
      </w:pPr>
      <w:r>
        <w:drawing>
          <wp:inline xmlns:a="http://schemas.openxmlformats.org/drawingml/2006/main" xmlns:pic="http://schemas.openxmlformats.org/drawingml/2006/picture">
            <wp:extent cx="5486400" cy="3808429"/>
            <wp:docPr id="1" name="Picture 1"/>
            <wp:cNvGraphicFramePr>
              <a:graphicFrameLocks noChangeAspect="1"/>
            </wp:cNvGraphicFramePr>
            <a:graphic>
              <a:graphicData uri="http://schemas.openxmlformats.org/drawingml/2006/picture">
                <pic:pic>
                  <pic:nvPicPr>
                    <pic:cNvPr id="0" name="A 30670-2026 karta.png"/>
                    <pic:cNvPicPr/>
                  </pic:nvPicPr>
                  <pic:blipFill>
                    <a:blip r:embed="rId16"/>
                    <a:stretch>
                      <a:fillRect/>
                    </a:stretch>
                  </pic:blipFill>
                  <pic:spPr>
                    <a:xfrm>
                      <a:off x="0" y="0"/>
                      <a:ext cx="5486400" cy="380842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7492840, E 805221 i SWEREF 99 TM.</w:t>
      </w:r>
    </w:p>
    <w:p>
      <w:r>
        <w:t>I och inom 18 meter från avverkningsanmälan finns fynd av 7 naturvårdsarter, varav 2 är rödlistade, 7 är typiska (T) och 3 är signalarter (S): röd trolldruva (NT, T), skuggviol (NT, T), stuplav (S, T), tibast (S, T), ögonpyrola (S, T), ormbär (T) och svarta vinbär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Ormbär</w:t>
      </w:r>
      <w:r>
        <w:t xml:space="preserve"> är typisk art för </w:t>
      </w:r>
      <w:r>
        <w:rPr>
          <w:i/>
        </w:rPr>
        <w:t xml:space="preserve">9050 Näringsrik granskog </w:t>
      </w:r>
      <w:r>
        <w:t>(SLU Artdatabanken, 2025).</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