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52625-2022 i Pajala kommun</w:t>
      </w:r>
    </w:p>
    <w:p>
      <w:r>
        <w:t>Detta klagomål behandlar höga naturvärden i avverkningsanmälan A 52625-2022 i Pajala kommun som inkom 2022-11-09 och omfattar 7,9 ha.</w:t>
      </w:r>
    </w:p>
    <w:p>
      <w:pPr>
        <w:pStyle w:val="Caption"/>
      </w:pPr>
      <w:r>
        <w:drawing>
          <wp:inline xmlns:a="http://schemas.openxmlformats.org/drawingml/2006/main" xmlns:pic="http://schemas.openxmlformats.org/drawingml/2006/picture">
            <wp:extent cx="4598870" cy="5724000"/>
            <wp:docPr id="1" name="Picture 1"/>
            <wp:cNvGraphicFramePr>
              <a:graphicFrameLocks noChangeAspect="1"/>
            </wp:cNvGraphicFramePr>
            <a:graphic>
              <a:graphicData uri="http://schemas.openxmlformats.org/drawingml/2006/picture">
                <pic:pic>
                  <pic:nvPicPr>
                    <pic:cNvPr id="0" name="A 52625-2022 karta.png"/>
                    <pic:cNvPicPr/>
                  </pic:nvPicPr>
                  <pic:blipFill>
                    <a:blip r:embed="rId16"/>
                    <a:stretch>
                      <a:fillRect/>
                    </a:stretch>
                  </pic:blipFill>
                  <pic:spPr>
                    <a:xfrm>
                      <a:off x="0" y="0"/>
                      <a:ext cx="459887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7447357, E 865533 i SWEREF 99 TM.</w:t>
      </w:r>
    </w:p>
    <w:p>
      <w:r>
        <w:t>I och inom 25 meter från avverkningsanmälan finns fynd av 35 naturvårdsarter, varav 21 är rödlistade, 10 är fridlysta, 21 är typiska (T) och 10 är signalarter (S): doftticka (VU, T, §8), finporing (VU), fläckporing (VU, T), garnlav (VU, T), gräddporing (VU, T), knärot (VU, T, §8), tornseglare (VU, §4), blanksvart spiklav (NT), blågrå svartspik (NT), dropptaggsvamp (NT, T), dvärgbägarlav (NT, T), gammelgransskål (NT, T), kolflarnlav (NT, T), kortskaftad ärgspik (NT), nordtagging (NT), talltita (NT, §4), ullticka (NT, T), vedflamlav (NT), vedskivlav (NT, T), vitgrynig nållav (NT), vitplätt (NT), björksplintborre (S), bårdlav (S, T), luddlav (S, T), norrlandslav (S, T), nästlav (S, T), plattlummer (S, T, §9), skinnlav (S, T), spindelblomster (S, T, §8), stuplav (S, T), vedticka (S, T), järpe (T, §4), vanlig groda (§6),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9794739"/>
            <wp:docPr id="2" name="Picture 2"/>
            <wp:cNvGraphicFramePr>
              <a:graphicFrameLocks noChangeAspect="1"/>
            </wp:cNvGraphicFramePr>
            <a:graphic>
              <a:graphicData uri="http://schemas.openxmlformats.org/drawingml/2006/picture">
                <pic:pic>
                  <pic:nvPicPr>
                    <pic:cNvPr id="0" name="A 52625-2022 karta knärot.png"/>
                    <pic:cNvPicPr/>
                  </pic:nvPicPr>
                  <pic:blipFill>
                    <a:blip r:embed="rId17"/>
                    <a:stretch>
                      <a:fillRect/>
                    </a:stretch>
                  </pic:blipFill>
                  <pic:spPr>
                    <a:xfrm>
                      <a:off x="0" y="0"/>
                      <a:ext cx="5486400" cy="9794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7447357, E 865533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