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7 naturvårdsarter, varav 3 är rödlistade, 2 är fridlysta, 5 är typiska (T) och 2 är signalarter (S): brunpudrad nållav (NT, T), gammelgransskål (NT, T), vitgrynig nållav (NT), skör kvastmossa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