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30542-2021 i Pajala kommun</w:t>
      </w:r>
    </w:p>
    <w:p>
      <w:r>
        <w:t>Detta dokument behandlar höga naturvärden i avverkningsanmälan A 30542-2021 i Pajala kommun. Denna avverkningsanmälan inkom 2021-06-17 00:00:00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7 naturvårdsarter hittats: ulltickeporing (VU), gammelgransskål (NT), garnlav (NT), ullticka (NT), vedskivlav (NT), vitgrynig nållav (NT) och norrlandslav (S). Av dessa är 6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50329"/>
            <wp:docPr id="1" name="Picture 1"/>
            <wp:cNvGraphicFramePr>
              <a:graphicFrameLocks noChangeAspect="1"/>
            </wp:cNvGraphicFramePr>
            <a:graphic>
              <a:graphicData uri="http://schemas.openxmlformats.org/drawingml/2006/picture">
                <pic:pic>
                  <pic:nvPicPr>
                    <pic:cNvPr id="0" name="A 30542-2021 karta.png"/>
                    <pic:cNvPicPr/>
                  </pic:nvPicPr>
                  <pic:blipFill>
                    <a:blip r:embed="rId16"/>
                    <a:stretch>
                      <a:fillRect/>
                    </a:stretch>
                  </pic:blipFill>
                  <pic:spPr>
                    <a:xfrm>
                      <a:off x="0" y="0"/>
                      <a:ext cx="5486400" cy="47503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7455939, E 816291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br w:type="page"/>
      </w:r>
    </w:p>
    <w:p>
      <w:pPr>
        <w:pStyle w:val="Title"/>
      </w:pPr>
      <w:r>
        <w:t>BILAGA 1 – Rödlistade arter</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t xml:space="preserve">Ulltickeporingen har nyligen delats upp i tre olika arter: </w:t>
      </w:r>
      <w:r>
        <w:rPr>
          <w:i/>
        </w:rPr>
        <w:t xml:space="preserve">Skeletocutis brevispora </w:t>
      </w:r>
      <w:r>
        <w:t>(ulltickeporing)</w:t>
      </w:r>
      <w:r>
        <w:rPr>
          <w:i/>
        </w:rPr>
        <w:t>, Skeletocutis delicata och Skeletocutis exilis</w:t>
      </w:r>
      <w:r>
        <w:t xml:space="preserve"> (Miettinen &amp; Niemelä, 2018). Skeletocutis delicata och Skeletocutis exilis står för närvarande (2020) som ej bedömda i rödlistan.</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