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35062-2026 i Pajala kommun</w:t>
      </w:r>
    </w:p>
    <w:p>
      <w:r>
        <w:t>Denna tillsynsbegäran behandlar höga naturvärden i avverkningsanmälan A 35062-2026 i Pajala kommun som inkom 2026-08-24 och omfattar 13,3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A 35062-2026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7471181, E 819845 i SWEREF 99 TM.</w:t>
      </w:r>
    </w:p>
    <w:p>
      <w:r>
        <w:t>I och inom 21 meter från avverkningsanmälan finns fynd av 19 naturvårdsarter, varav 16 är rödlistade, 5 är fridlysta, 13 är typiska (T) och 1 är signalart (S): urskogsporing (EN), fläckporing (VU, T), garnlav (VU, T), skuggnål (VU), dropptaggsvamp (NT, T), gammelgransskål (NT, T), knottrig blåslav (NT, T), lavskrika (NT, T, §4), mörk kolflarnlav (NT), stjärntagging (NT, T), talltita (NT, §4), tretåig hackspett (NT, T, §4), ullticka (NT, T), vaddporing (NT), vedskivlav (NT, T), violmussling (NT, T), bårdlav (S,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gammelgransskål (NT, T), knottrig blåslav (NT, T), lavskrika (NT, T, §4), stjärntagging (NT, T), tretåig hackspett (NT, T, §4), ullticka (NT, T), vedskivlav (NT, T), violmussling (NT, T), bårdlav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