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30670-2026 i Pajala kommun</w:t>
      </w:r>
    </w:p>
    <w:p>
      <w:r>
        <w:t>Detta klagomål behandlar höga naturvärden i avverkningsanmälan A 30670-2026 i Pajala kommun som inkom 2026-07-08 och omfattar 18,2 ha.</w:t>
      </w:r>
    </w:p>
    <w:p>
      <w:pPr>
        <w:pStyle w:val="Caption"/>
      </w:pPr>
      <w:r>
        <w:drawing>
          <wp:inline xmlns:a="http://schemas.openxmlformats.org/drawingml/2006/main" xmlns:pic="http://schemas.openxmlformats.org/drawingml/2006/picture">
            <wp:extent cx="5486400" cy="3808429"/>
            <wp:docPr id="1" name="Picture 1"/>
            <wp:cNvGraphicFramePr>
              <a:graphicFrameLocks noChangeAspect="1"/>
            </wp:cNvGraphicFramePr>
            <a:graphic>
              <a:graphicData uri="http://schemas.openxmlformats.org/drawingml/2006/picture">
                <pic:pic>
                  <pic:nvPicPr>
                    <pic:cNvPr id="0" name="A 30670-2026 karta.png"/>
                    <pic:cNvPicPr/>
                  </pic:nvPicPr>
                  <pic:blipFill>
                    <a:blip r:embed="rId16"/>
                    <a:stretch>
                      <a:fillRect/>
                    </a:stretch>
                  </pic:blipFill>
                  <pic:spPr>
                    <a:xfrm>
                      <a:off x="0" y="0"/>
                      <a:ext cx="5486400" cy="380842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7492840, E 805221 i SWEREF 99 TM.</w:t>
      </w:r>
    </w:p>
    <w:p>
      <w:r>
        <w:t>I och inom 18 meter från avverkningsanmälan finns fynd av 7 naturvårdsarter, varav 2 är rödlistade, 7 är typiska (T) och 3 är signalarter (S): röd trolldruva (NT, T), skuggviol (NT, T), stuplav (S, T), tibast (S, T), ögonpyrola (S, T), ormbär (T) och svarta vinbär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Röd trolldruva är typisk art för </w:t>
      </w:r>
      <w:r>
        <w:rPr>
          <w:i/>
        </w:rPr>
        <w:t>9050 Näringsrik granskog</w:t>
      </w:r>
      <w:r>
        <w:t xml:space="preserve"> (SLU Artdatabanken, 2024).</w:t>
      </w:r>
    </w:p>
    <w:p>
      <w:r>
        <w:rPr>
          <w:b/>
        </w:rPr>
        <w:t>Skuggviol (NT)</w:t>
      </w:r>
      <w:r>
        <w:t xml:space="preserve"> förekommer från Värmland upp till Norrbotten och Torne lappmark. Den växer i örtrika hägg- eller gråalsdominerade lövlundar i fuktstråk nedanför sydbergsbranter, i raviner eller vid rikare partier längs åar och bäckar. Lokaler för skuggviol bör undantas från skogsbruk och vid avverkningar i närheten av skuggviolens biotoper är det viktigt att lämna stormfasta kantzoner. Dikningar som direkt eller indirekt påverkar dessa miljöer bör inte heller utföras. Skuggviol är typisk art för </w:t>
      </w:r>
      <w:r>
        <w:rPr>
          <w:i/>
        </w:rPr>
        <w:t>9750 Svämlövskog</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Ormbär</w:t>
      </w:r>
      <w:r>
        <w:t xml:space="preserve"> är typisk art för </w:t>
      </w:r>
      <w:r>
        <w:rPr>
          <w:i/>
        </w:rPr>
        <w:t xml:space="preserve">9050 Näringsrik granskog </w:t>
      </w:r>
      <w:r>
        <w:t>(SLU Artdatabanken, 2025).</w:t>
      </w:r>
    </w:p>
    <w:p>
      <w:r>
        <w:rPr>
          <w:b/>
        </w:rPr>
        <w:t>Svarta vinbär</w:t>
      </w:r>
      <w:r>
        <w:t xml:space="preserve"> är typisk art för </w:t>
      </w:r>
      <w:r>
        <w:rPr>
          <w:i/>
        </w:rPr>
        <w:t xml:space="preserve">9050 Näringsrik granskog </w:t>
      </w:r>
      <w:r>
        <w:t>och</w:t>
      </w:r>
      <w:r>
        <w:rPr>
          <w:i/>
        </w:rPr>
        <w:t xml:space="preserve"> 6430 Högörtängar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