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1025-2026 i Pajala kommun</w:t>
      </w:r>
    </w:p>
    <w:p>
      <w:r>
        <w:t>Detta klagomål behandlar höga naturvärden i avverkningsanmälan A 1025-2026 i Pajala kommun som inkom 2026-01-07 och omfattar 37,5 ha.</w:t>
      </w:r>
    </w:p>
    <w:p>
      <w:pPr>
        <w:pStyle w:val="Caption"/>
      </w:pPr>
      <w:r>
        <w:drawing>
          <wp:inline xmlns:a="http://schemas.openxmlformats.org/drawingml/2006/main" xmlns:pic="http://schemas.openxmlformats.org/drawingml/2006/picture">
            <wp:extent cx="5486400" cy="4279769"/>
            <wp:docPr id="1" name="Picture 1"/>
            <wp:cNvGraphicFramePr>
              <a:graphicFrameLocks noChangeAspect="1"/>
            </wp:cNvGraphicFramePr>
            <a:graphic>
              <a:graphicData uri="http://schemas.openxmlformats.org/drawingml/2006/picture">
                <pic:pic>
                  <pic:nvPicPr>
                    <pic:cNvPr id="0" name="A 1025-2026 karta.png"/>
                    <pic:cNvPicPr/>
                  </pic:nvPicPr>
                  <pic:blipFill>
                    <a:blip r:embed="rId16"/>
                    <a:stretch>
                      <a:fillRect/>
                    </a:stretch>
                  </pic:blipFill>
                  <pic:spPr>
                    <a:xfrm>
                      <a:off x="0" y="0"/>
                      <a:ext cx="5486400" cy="427976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7496588, E 871036 i SWEREF 99 TM.</w:t>
      </w:r>
    </w:p>
    <w:p>
      <w:r>
        <w:t>I och inom 15 meter från avverkningsanmälan finns fynd av 6 naturvårdsarter, varav 6 är rödlistade och 1 är typisk (T): fläckporing (VU, T), skrovlig taggsvamp (VU), tallgråticka (VU), tallmusseron (VU), talltaggsvamp (NT)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Tallmusseron (VU)</w:t>
      </w:r>
      <w:r>
        <w:t xml:space="preserve"> bildar mykorrhiza med tall och kräver troligen lång trädkontinuitet. De flesta fynd är gjorda i sandtallskogar. Slutavverkning, kraftig gallring eller andra skogsbruksåtgärder på sandiga tallhedar, som medför att trädkontinuiteten bryts, utgör största hotet. Tallmusseron är placerad högst upp i Skogsstyrelsens värdepyramid för bedömning av skog med höga naturvärden och globalt rödlistad som nära hotad (NT) vilket innebär att Sverige har ett internationellt ansvar för arten. Kända lokaler bör undantas från storskaligt skogsbruk (IUCN, 2025;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