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25076-2026 i Pajala kommun</w:t>
      </w:r>
    </w:p>
    <w:p>
      <w:r>
        <w:t>Detta klagomål behandlar höga naturvärden i avverkningsanmälan A 25076-2026 i Pajala kommun som inkom 2026-05-29 och omfattar 57,7 ha.</w:t>
      </w:r>
    </w:p>
    <w:p>
      <w:pPr>
        <w:pStyle w:val="Caption"/>
      </w:pPr>
      <w:r>
        <w:drawing>
          <wp:inline xmlns:a="http://schemas.openxmlformats.org/drawingml/2006/main" xmlns:pic="http://schemas.openxmlformats.org/drawingml/2006/picture">
            <wp:extent cx="5486400" cy="4599661"/>
            <wp:docPr id="1" name="Picture 1"/>
            <wp:cNvGraphicFramePr>
              <a:graphicFrameLocks noChangeAspect="1"/>
            </wp:cNvGraphicFramePr>
            <a:graphic>
              <a:graphicData uri="http://schemas.openxmlformats.org/drawingml/2006/picture">
                <pic:pic>
                  <pic:nvPicPr>
                    <pic:cNvPr id="0" name="A 25076-2026 karta.png"/>
                    <pic:cNvPicPr/>
                  </pic:nvPicPr>
                  <pic:blipFill>
                    <a:blip r:embed="rId16"/>
                    <a:stretch>
                      <a:fillRect/>
                    </a:stretch>
                  </pic:blipFill>
                  <pic:spPr>
                    <a:xfrm>
                      <a:off x="0" y="0"/>
                      <a:ext cx="5486400" cy="4599661"/>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7528127, E 853104 i SWEREF 99 TM.</w:t>
      </w:r>
    </w:p>
    <w:p>
      <w:r>
        <w:t>I och inom 3 meter från avverkningsanmälan finns fynd av 12 naturvårdsarter, varav 10 är rödlistade, 4 är fridlysta och 11 är typiska (T): lappticka (VU, T), ostticka (VU, T), gammelgransskål (NT, T), gäckporing (NT), harticka (NT, T), lavskrika (NT, T, §4), rosenticka (NT, T), rynkskinn (NT, T), tretåig hackspett (NT, T, §4), ullticka (NT, T), järpe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Gäckporing (NT)</w:t>
      </w:r>
      <w:r>
        <w:t xml:space="preserve"> är en brunrötande vedsvamp som i Sverige mest tycks förekomma i talldominerad skog med mycket ved i olika nedbrytningsstadier, helst senvuxen tallved. Arten hotas främst av slutavverkning och av den minskande tillgången på död ved i de brukade skogarna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