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7325-2024 i Pajala kommun</w:t>
      </w:r>
    </w:p>
    <w:p>
      <w:r>
        <w:t>Detta klagomål behandlar höga naturvärden i avverkningsanmälan A 7325-2024 i Pajala kommun som inkom 2024-02-23 och omfattar 46,3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7325-2024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7478259, E 855685 i SWEREF 99 TM.</w:t>
      </w:r>
    </w:p>
    <w:p>
      <w:r>
        <w:t>I och inom 24 meter från avverkningsanmälan finns fynd av 26 naturvårdsarter, varav 12 är rödlistade, 9 är fridlysta, 21 är typiska (T) och 7 är signalarter (S): bombmurkla (EN, §8), garnlav (VU, T), knärot (VU, T, §8), tajgaskinn (VU), gammelgransskål (NT, T), harticka (NT, T), lavskrika (NT, T, §4), rosenticka (NT, T), röd trolldruva (NT, T), tretåig hackspett (NT, T, §4), ullticka (NT, T), violmussling (NT, T), blodticka (S, T), luddlav (S, T), rödgul trumpetsvamp (S), skinnlav (S, T), stuplav (S, T), vedticka (S, T), ögonpyrola (S, T), järpe (T, §4), kransmossa (T), ormbär (T), spillkråka (T, §4), videsparv (T, §4), vanlig groda (§6)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6047509"/>
            <wp:docPr id="2" name="Picture 2"/>
            <wp:cNvGraphicFramePr>
              <a:graphicFrameLocks noChangeAspect="1"/>
            </wp:cNvGraphicFramePr>
            <a:graphic>
              <a:graphicData uri="http://schemas.openxmlformats.org/drawingml/2006/picture">
                <pic:pic>
                  <pic:nvPicPr>
                    <pic:cNvPr id="0" name="A 7325-2024 karta knärot.png"/>
                    <pic:cNvPicPr/>
                  </pic:nvPicPr>
                  <pic:blipFill>
                    <a:blip r:embed="rId17"/>
                    <a:stretch>
                      <a:fillRect/>
                    </a:stretch>
                  </pic:blipFill>
                  <pic:spPr>
                    <a:xfrm>
                      <a:off x="0" y="0"/>
                      <a:ext cx="5486400" cy="60475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7478259, E 855685 i SWEREF 99 TM.</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