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53440-2022 i Pajala kommun</w:t>
      </w:r>
    </w:p>
    <w:p>
      <w:r>
        <w:t>Detta klagomål behandlar höga naturvärden i avverkningsanmälan A 53440-2022 i Pajala kommun som inkom 2022-11-09 och omfattar 7,2 ha.</w:t>
      </w:r>
    </w:p>
    <w:p>
      <w:pPr>
        <w:pStyle w:val="Caption"/>
      </w:pPr>
      <w:r>
        <w:drawing>
          <wp:inline xmlns:a="http://schemas.openxmlformats.org/drawingml/2006/main" xmlns:pic="http://schemas.openxmlformats.org/drawingml/2006/picture">
            <wp:extent cx="5486400" cy="4590854"/>
            <wp:docPr id="1" name="Picture 1"/>
            <wp:cNvGraphicFramePr>
              <a:graphicFrameLocks noChangeAspect="1"/>
            </wp:cNvGraphicFramePr>
            <a:graphic>
              <a:graphicData uri="http://schemas.openxmlformats.org/drawingml/2006/picture">
                <pic:pic>
                  <pic:nvPicPr>
                    <pic:cNvPr id="0" name="A 53440-2022 karta.png"/>
                    <pic:cNvPicPr/>
                  </pic:nvPicPr>
                  <pic:blipFill>
                    <a:blip r:embed="rId16"/>
                    <a:stretch>
                      <a:fillRect/>
                    </a:stretch>
                  </pic:blipFill>
                  <pic:spPr>
                    <a:xfrm>
                      <a:off x="0" y="0"/>
                      <a:ext cx="5486400" cy="459085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7495133, E 862928 i SWEREF 99 TM.</w:t>
      </w:r>
    </w:p>
    <w:p>
      <w:r>
        <w:t>I avverkningsanmälan finns fynd av 9 naturvårdsarter, varav 4 är rödlistade, 4 är fridlysta, 6 är typiska (T) och 2 är signalarter (S): brunpudrad nållav (NT, T), gammelgransskål (NT, T), rödvingetrast (NT, §4), vitgrynig nållav (NT), skör kvastmossa (S, T), vedticka (S, T), bergfink (T, §4), tjäder (T, §4)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Brunpudrad nållav är typisk art för </w:t>
      </w:r>
      <w:r>
        <w:rPr>
          <w:i/>
        </w:rPr>
        <w:t>9010 Taiga</w:t>
      </w:r>
      <w:r>
        <w:t xml:space="preserve"> (SLU Artdatabanken, 2024;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 xml:space="preserve">Skör kvastmossa </w:t>
      </w:r>
      <w:r>
        <w:t xml:space="preserve">växer på murket trä och någon gång på humusrik jord eller torv. Den påträffas främst i miljöer med hög luftfuktighet, såsom sumpskogar och strandskogar. Den signalerar skog med höga naturvärden och indikerar rik förekomst av ved i olika nedbrytningsstadier på lokaler med hög och jämn luftfuktighet. Skör kvastmossa är typisk art för </w:t>
      </w:r>
      <w:r>
        <w:rPr>
          <w:i/>
        </w:rPr>
        <w:t>9010 Taiga</w:t>
      </w:r>
      <w:r>
        <w:t xml:space="preserve"> (SLU Artdatabanken, 2024;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Bergfink (§4)</w:t>
      </w:r>
      <w:r>
        <w:t xml:space="preserve"> häckar i barr- och blandskog samt i fjällbjörkskog. Den förekommer i Norrland, västra Dalarna och norra Värmland samt sparsamt till sällsynt vidare söderut till mellersta Värmland, norra Västmanland och södra Gästrikland. Bergfink är typisk art för </w:t>
      </w:r>
      <w:r>
        <w:rPr>
          <w:i/>
        </w:rPr>
        <w:t>9040 Fjällbjörkskog</w:t>
      </w:r>
      <w:r>
        <w:t xml:space="preserve"> (SLU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9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