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25825-2026 i Pajala kommun</w:t>
      </w:r>
    </w:p>
    <w:p>
      <w:r>
        <w:t>Denna tillsynsbegäran behandlar höga naturvärden i avverkningsanmälan A 25825-2026 i Pajala kommun som inkom 2026-06-05 och omfattar 11,0 ha.</w:t>
      </w:r>
    </w:p>
    <w:p>
      <w:pPr>
        <w:pStyle w:val="Caption"/>
      </w:pPr>
      <w:r>
        <w:drawing>
          <wp:inline xmlns:a="http://schemas.openxmlformats.org/drawingml/2006/main" xmlns:pic="http://schemas.openxmlformats.org/drawingml/2006/picture">
            <wp:extent cx="5486400" cy="5382705"/>
            <wp:docPr id="1" name="Picture 1"/>
            <wp:cNvGraphicFramePr>
              <a:graphicFrameLocks noChangeAspect="1"/>
            </wp:cNvGraphicFramePr>
            <a:graphic>
              <a:graphicData uri="http://schemas.openxmlformats.org/drawingml/2006/picture">
                <pic:pic>
                  <pic:nvPicPr>
                    <pic:cNvPr id="0" name="A 25825-2026 karta.png"/>
                    <pic:cNvPicPr/>
                  </pic:nvPicPr>
                  <pic:blipFill>
                    <a:blip r:embed="rId16"/>
                    <a:stretch>
                      <a:fillRect/>
                    </a:stretch>
                  </pic:blipFill>
                  <pic:spPr>
                    <a:xfrm>
                      <a:off x="0" y="0"/>
                      <a:ext cx="5486400" cy="5382705"/>
                    </a:xfrm>
                    <a:prstGeom prst="rect"/>
                  </pic:spPr>
                </pic:pic>
              </a:graphicData>
            </a:graphic>
          </wp:inline>
        </w:drawing>
      </w:r>
    </w:p>
    <w:p>
      <w:pPr>
        <w:pStyle w:val="Caption"/>
        <w:spacing w:after="240"/>
      </w:pPr>
      <w:r>
        <w:t>Figur 1. Fyndplatser för naturvårdsarter inom 25 meter från avverkningsanmälan. Markörer utan svart kant är placerade på fyndplatsen. Markörer med svart kant är placerade vid sidan av fyndplatsen och har ett svart streck som visar fyndplatsens exakta position. Kartans mittpunktskoordinat är N 7516733, E 851440 i SWEREF 99 TM.</w:t>
      </w:r>
    </w:p>
    <w:p>
      <w:r>
        <w:t>Inom 25 meter från avverkningsanmälan finns fynd av 2 naturvårdsarter, varav 2 är rödlistade och 2 är typiska (T): garnlav (VU, T) och violmussling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Violmussling (NT)</w:t>
      </w:r>
      <w:r>
        <w:t xml:space="preserve"> växer på döda, oftast omkullfallna stammar av gran eller tall. De flesta fynden har gjorts i gammal, orörd skog och arten är en mycket god indikator på förekomst av lång skoglig kontinuitet. Platser som hyser stora bestånd av violmussling bör i första hand skyddas och undantas från skogsbruk. Flera sällsynta och mycket sällsynta tickor och skalbaggar är mer eller mindre starkt associerade med violtickor </w:t>
      </w:r>
      <w:r>
        <w:rPr>
          <w:i/>
        </w:rPr>
        <w:t>Trichaptum spp.</w:t>
      </w:r>
      <w:r>
        <w:t xml:space="preserve"> och död ved som först rötats av någon </w:t>
      </w:r>
      <w:r>
        <w:rPr>
          <w:i/>
        </w:rPr>
        <w:t>Trichaptum-art</w:t>
      </w:r>
      <w:r>
        <w:t>. Bland dessa kan nämnas gul mjukporing (CR), lämmelporing (CR), kilporing (VU), parasitporing (VU), gropig brunbagge (NT), gulbandad brunbagge</w:t>
      </w:r>
      <w:r>
        <w:rPr>
          <w:i/>
        </w:rPr>
        <w:t xml:space="preserve"> </w:t>
      </w:r>
      <w:r>
        <w:t>(NT) och brunkantad brunbagge</w:t>
      </w:r>
      <w:r>
        <w:rPr>
          <w:i/>
        </w:rPr>
        <w:t xml:space="preserve"> </w:t>
      </w:r>
      <w:r>
        <w:t xml:space="preserve">(DD). Violmussling är typisk art för </w:t>
      </w:r>
      <w:r>
        <w:rPr>
          <w:i/>
        </w:rPr>
        <w:t>9010 Taiga</w:t>
      </w:r>
      <w:r>
        <w:t xml:space="preserve"> (SLU Artdatabanken, 2026;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