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21 meter från avverkningsanmälan finns fynd av 19 naturvårdsarter, varav 16 är rödlistade, 5 är fridlysta, 13 är typiska (T) och 1 är signalart (S): urskogsporing (EN), fläckporing (VU, T), garnlav (VU, T), skuggnål (VU), dropptaggsvamp (NT, T), gammelgransskål (NT, T), knottrig blåslav (NT, T), lavskrika (NT, T, §4), mörk kolflarnlav (NT), stjärntagging (NT, T), talltita (NT, §4), tretåig hackspett (NT, T, §4), ullticka (NT, T), vaddporing (NT), vedskivlav (NT, T), violmussling (NT, T), bårdlav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gammelgransskål (NT, T), knottrig blåslav (NT, T), lavskrika (NT, T, §4), stjärntagging (NT, T), tretåig hackspett (NT, T, §4), ullticka (NT, T), vedskivlav (NT, T), violmussling (NT, T), bårdlav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