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oftticka (VU, §8), knärot (VU, §8), gammelgransskål (NT), garnlav (NT), granticka (NT), harticka (NT), järpe (NT, §4), rosenticka (NT), skrovellav (NT), spillkråka (NT, §4), svart taggsvamp (NT), talltita (NT, §4), tretåig hackspett (NT, §4), ullticka (NT), vedskivlav (NT), bårdlav (S), dvärgtufs (S), luddlav (S), plattlummer (S, §9), skinnlav (S), stuplav (S), ögonpyrola (S) och orre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0574"/>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05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5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2.33 ha med buffertzonerna och får av detta skäl inte avverkas.</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