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doftticka (VU, §8), knärot (VU, §8), gammelgransskål (NT), garnlav (NT), granticka (NT), harticka (NT), järpe (NT, §4), rosenticka (NT), skrovellav (NT), spillkråka (NT, §4), svart taggsvamp (NT), talltita (NT, §4), tretåig hackspett (NT, §4), ullticka (NT), vedskivlav (NT), bårdlav (S), dvärgtufs (S), luddlav (S), plattlummer (S, §9), skinnlav (S), stuplav (S), ögonpyrola (S) och orre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0574"/>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05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5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2.33 ha med buffertzonerna och får av detta skäl inte avverkas.</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