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37735-2025 i Pajala kommun</w:t>
      </w:r>
    </w:p>
    <w:p>
      <w:r>
        <w:t>Detta dokument behandlar höga naturvärden i avverkningsanmälan A 37735-2025 i Pajala kommun. Denna avverkningsanmälan inkom 2025-08-11 00:00:00 och omfattar 10,7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38 naturvårdsarter hittats: kolticka (EN), fläckporing (VU), gräddporing (VU), knärot (VU, §8), liten aspgelélav (VU), smalfotad taggsvamp (VU), blanksvart spiklav (NT), blå taggsvamp (NT), blågrå svartspik (NT), dvärgbägarlav (NT), gammelgransskål (NT), garnlav (NT), järpe (NT, §4), kolflarnlav (NT), mörk kolflarnlav (NT), nordtagging (NT), orange taggsvamp (NT), stjärntagging (NT), svartvit taggsvamp (NT), tallticka (NT), talltita (NT, §4), tretåig hackspett (NT, §4), vedflamlav (NT), vedskivlav (NT), vitgrynig nållav (NT), dropptaggsvamp (S), grönpyrola (S), källpraktmossa (S), lappranunkel (S, §7), nästlav (S), plattlummer (S, §9), skarp dropptaggsvamp (S), skinnlav (S), kungsfågel (§4), tjäder (§4), skogsödla (§6), fläcknycklar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84973"/>
            <wp:docPr id="1" name="Picture 1"/>
            <wp:cNvGraphicFramePr>
              <a:graphicFrameLocks noChangeAspect="1"/>
            </wp:cNvGraphicFramePr>
            <a:graphic>
              <a:graphicData uri="http://schemas.openxmlformats.org/drawingml/2006/picture">
                <pic:pic>
                  <pic:nvPicPr>
                    <pic:cNvPr id="0" name="A 37735-2025 karta.png"/>
                    <pic:cNvPicPr/>
                  </pic:nvPicPr>
                  <pic:blipFill>
                    <a:blip r:embed="rId16"/>
                    <a:stretch>
                      <a:fillRect/>
                    </a:stretch>
                  </pic:blipFill>
                  <pic:spPr>
                    <a:xfrm>
                      <a:off x="0" y="0"/>
                      <a:ext cx="5486400" cy="52849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7432062, E 835280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Kolticka (EN) </w:t>
      </w:r>
      <w:r>
        <w:t>är starkt hotad art som endast växer på brända ytor av grova tallågor, ett substrat som blir alltmer sällsynt och numera bara påträffas i gammal barrskog. Svampens växtplatser bör undantas från skogsbruk och man bör lägga särskild vikt vid att spara gamla tallar. De kända lokalerna bör övervakas och om behov föreligger ges juridiskt skydd. För att säkerställa artens fortlevnad är det eftersträvansvärt att bränna lämpliga skogspartier och låta den brända veden ligga kvar. På sikt är bristen på lämpligt substrat i det kringliggande landskapet ett hot mot artens fortlevnad (SLU Artdatabanken, 2024).</w:t>
      </w:r>
    </w:p>
    <w:p>
      <w:r>
        <w:rPr>
          <w:b/>
        </w:rPr>
        <w:t>Liten aspgelélav (VU)</w:t>
      </w:r>
      <w:r>
        <w:t>, rödlistad som sårbar, växer på asp i halvöppna boreala blandskogar med hög och jämn luftfuktighet. Den omfattas av åtgärdsprogram (ÅGP) för hotade arter på asp i Norrland och är placerad i toppen av Skogsstyrelsens värdepyramid för bedömning av skog med höga naturvärden. Arten har ett mycket högt skyddsvärde då en mycket stor andel (mer än 90 %) av samtliga kända lokaler i världen finns i Sverige. Samtliga lokaler måste skyddas och inslaget av asp i skogsmark måste öka på lång sikt (Naturvårdsverket, 2010; Nitare &amp; Skogsstyrelsen, 2019;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järpe (NT, §4), talltita (NT, §4), tretåig hackspett (NT, §4), lappranunkel (S, §7), plattlummer (S, §9), kungsfågel (§4), tjäder (§4), skogsödla (§6),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3 fyndplatser för knärot registrerade på Artportalen. Figur 2 visar gränserna för buffertzoner på 50 m, som behöver lämnas kring fyndplatserna för att knärotslokalerna inte ska försvinna vid en avverkning. Av det avverkningsanmälda området överlappar 1.55 ha med buffertzonerna och får av detta skäl inte avverkas.</w:t>
      </w:r>
    </w:p>
    <w:p>
      <w:pPr>
        <w:pStyle w:val="Caption"/>
      </w:pPr>
      <w:r>
        <w:drawing>
          <wp:inline xmlns:a="http://schemas.openxmlformats.org/drawingml/2006/main" xmlns:pic="http://schemas.openxmlformats.org/drawingml/2006/picture">
            <wp:extent cx="5486400" cy="6785922"/>
            <wp:docPr id="2" name="Picture 2"/>
            <wp:cNvGraphicFramePr>
              <a:graphicFrameLocks noChangeAspect="1"/>
            </wp:cNvGraphicFramePr>
            <a:graphic>
              <a:graphicData uri="http://schemas.openxmlformats.org/drawingml/2006/picture">
                <pic:pic>
                  <pic:nvPicPr>
                    <pic:cNvPr id="0" name="A 37735-2025 karta knärot.png"/>
                    <pic:cNvPicPr/>
                  </pic:nvPicPr>
                  <pic:blipFill>
                    <a:blip r:embed="rId17"/>
                    <a:stretch>
                      <a:fillRect/>
                    </a:stretch>
                  </pic:blipFill>
                  <pic:spPr>
                    <a:xfrm>
                      <a:off x="0" y="0"/>
                      <a:ext cx="5486400" cy="678592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7432062, E 835280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