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7325-2024 i Pajala kommun</w:t>
      </w:r>
    </w:p>
    <w:p>
      <w:r>
        <w:t>Detta dokument behandlar höga naturvärden i avverkningsanmälan A 7325-2024 i Pajala kommun. Denna avverkningsanmälan inkom 2024-02-23 00:00:00 och omfattar 46,3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bombmurkla (VU, §8), gammelgransskål (NT), garnlav (NT), granticka (NT), harticka (NT), järpe (NT, §4), rosenticka (NT), spillkråka (NT, §4), tretåig hackspett (NT, §4), ullticka (NT), videsparv (NT, §4), violmussling (NT), luddlav (S), rödgul trumpetsvamp (S), skinnlav (S), stuplav (S), vedticka (S), lavskrika (§4), orre (§4) och tjäder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3463"/>
            <wp:docPr id="1" name="Picture 1"/>
            <wp:cNvGraphicFramePr>
              <a:graphicFrameLocks noChangeAspect="1"/>
            </wp:cNvGraphicFramePr>
            <a:graphic>
              <a:graphicData uri="http://schemas.openxmlformats.org/drawingml/2006/picture">
                <pic:pic>
                  <pic:nvPicPr>
                    <pic:cNvPr id="0" name="A 7325-2024 karta.png"/>
                    <pic:cNvPicPr/>
                  </pic:nvPicPr>
                  <pic:blipFill>
                    <a:blip r:embed="rId16"/>
                    <a:stretch>
                      <a:fillRect/>
                    </a:stretch>
                  </pic:blipFill>
                  <pic:spPr>
                    <a:xfrm>
                      <a:off x="0" y="0"/>
                      <a:ext cx="5486400" cy="48634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7478259, E 855685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bombmurkla (VU, §8), järpe (NT, §4), spillkråka (NT, §4), tretåig hackspett (NT, §4), videsparv (NT, §4), lavskrika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Bombmurkla (VU, §8) </w:t>
      </w:r>
      <w:r>
        <w:t>indikerar en speciell och hotad granskogstyp på naturligt näringsrika sandjordar och är placerad högst upp i Skogsstyrelsens värdepyramid för bedömning av skog med höga naturvärden. Den tål inte slutavverkning eller kraftig gallring och är endast påträffad i områden som har långvarig skogskontinuitet med gran. Bombmurkla är fridlyst enligt 8 § artskyddsförordningen, omfattas av åtgärdsprogram för hotade arter (ÅGP) och är globalt rödlistad som nära hotad (NT). Sverige har ojämförligt flest växtplatser kvar av den europeiska populationen, vilket medför att vårt land har ett internationellt ansvar för artens fortlevnad (IUCN, 2024; SLU Artdatabanken, 2024; Nitare &amp; Skogsstyrelsen, 2019; Naturvårdsverket, 2010).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047509"/>
            <wp:docPr id="2" name="Picture 2"/>
            <wp:cNvGraphicFramePr>
              <a:graphicFrameLocks noChangeAspect="1"/>
            </wp:cNvGraphicFramePr>
            <a:graphic>
              <a:graphicData uri="http://schemas.openxmlformats.org/drawingml/2006/picture">
                <pic:pic>
                  <pic:nvPicPr>
                    <pic:cNvPr id="0" name="A 7325-2024 karta knärot.png"/>
                    <pic:cNvPicPr/>
                  </pic:nvPicPr>
                  <pic:blipFill>
                    <a:blip r:embed="rId17"/>
                    <a:stretch>
                      <a:fillRect/>
                    </a:stretch>
                  </pic:blipFill>
                  <pic:spPr>
                    <a:xfrm>
                      <a:off x="0" y="0"/>
                      <a:ext cx="5486400" cy="6047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7478259, E 855685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