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1025-2026 i Pajala kommun</w:t>
      </w:r>
    </w:p>
    <w:p>
      <w:r>
        <w:t>Denna tillsynsbegäran behandlar höga naturvärden i avverkningsanmälan A 1025-2026 i Pajala kommun som inkom 2026-01-07 och omfattar 37,5 ha.</w:t>
      </w:r>
    </w:p>
    <w:p>
      <w:pPr>
        <w:pStyle w:val="Caption"/>
      </w:pPr>
      <w:r>
        <w:drawing>
          <wp:inline xmlns:a="http://schemas.openxmlformats.org/drawingml/2006/main" xmlns:pic="http://schemas.openxmlformats.org/drawingml/2006/picture">
            <wp:extent cx="5486400" cy="4279769"/>
            <wp:docPr id="1" name="Picture 1"/>
            <wp:cNvGraphicFramePr>
              <a:graphicFrameLocks noChangeAspect="1"/>
            </wp:cNvGraphicFramePr>
            <a:graphic>
              <a:graphicData uri="http://schemas.openxmlformats.org/drawingml/2006/picture">
                <pic:pic>
                  <pic:nvPicPr>
                    <pic:cNvPr id="0" name="A 1025-2026 karta.png"/>
                    <pic:cNvPicPr/>
                  </pic:nvPicPr>
                  <pic:blipFill>
                    <a:blip r:embed="rId16"/>
                    <a:stretch>
                      <a:fillRect/>
                    </a:stretch>
                  </pic:blipFill>
                  <pic:spPr>
                    <a:xfrm>
                      <a:off x="0" y="0"/>
                      <a:ext cx="5486400" cy="427976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7496588, E 871036 i SWEREF 99 TM.</w:t>
      </w:r>
    </w:p>
    <w:p>
      <w:r>
        <w:t>I och inom 15 meter från avverkningsanmälan finns fynd av 6 naturvårdsarter, varav 6 är rödlistade och 1 är typisk (T): fläckporing (VU, T), skrovlig taggsvamp (VU), tallgråticka (VU), tallmusseron (VU), talltaggsvamp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