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36968-2026 i Pajala kommun</w:t>
      </w:r>
    </w:p>
    <w:p>
      <w:r>
        <w:t>Denna tillsynsbegäran behandlar höga naturvärden i avverkningsanmälan A 36968-2026 i Pajala kommun som inkom 2026-09-08 och omfattar 29,7 ha.</w:t>
      </w:r>
    </w:p>
    <w:p>
      <w:pPr>
        <w:pStyle w:val="Caption"/>
      </w:pPr>
      <w:r>
        <w:drawing>
          <wp:inline xmlns:a="http://schemas.openxmlformats.org/drawingml/2006/main" xmlns:pic="http://schemas.openxmlformats.org/drawingml/2006/picture">
            <wp:extent cx="5486400" cy="3150438"/>
            <wp:docPr id="1" name="Picture 1"/>
            <wp:cNvGraphicFramePr>
              <a:graphicFrameLocks noChangeAspect="1"/>
            </wp:cNvGraphicFramePr>
            <a:graphic>
              <a:graphicData uri="http://schemas.openxmlformats.org/drawingml/2006/picture">
                <pic:pic>
                  <pic:nvPicPr>
                    <pic:cNvPr id="0" name="A 36968-2026 karta.png"/>
                    <pic:cNvPicPr/>
                  </pic:nvPicPr>
                  <pic:blipFill>
                    <a:blip r:embed="rId16"/>
                    <a:stretch>
                      <a:fillRect/>
                    </a:stretch>
                  </pic:blipFill>
                  <pic:spPr>
                    <a:xfrm>
                      <a:off x="0" y="0"/>
                      <a:ext cx="5486400" cy="31504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7520615, E 849178 i SWEREF 99 TM.</w:t>
      </w:r>
    </w:p>
    <w:p>
      <w:r>
        <w:t>I och inom 25 meter från avverkningsanmälan finns fynd av 7 naturvårdsarter, varav 6 är rödlistade, 1 är fridlyst, 5 är typiska (T) och 1 är signalart (S): gräddporing (VU, T), blågrå svartspik (NT), mörk kolflarnlav (NT), talltagel (NT, T), tretåig hackspett (NT, T, §4), vedskivlav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talltagel (NT, T), tretåig hackspett (NT, T, §4), vedskivlav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