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41787-2025 i Pajala kommun</w:t>
      </w:r>
    </w:p>
    <w:p>
      <w:r>
        <w:t>Detta dokument behandlar höga naturvärden i avverkningsanmälan A 41787-2025 i Pajala kommun. Denna avverkningsanmälan inkom 2025-09-02 14:12:45 och omfattar 29,2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mörk kolflarnlav (NT), orange taggsvamp (NT), skrovlig taggsvamp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7013"/>
            <wp:docPr id="1" name="Picture 1"/>
            <wp:cNvGraphicFramePr>
              <a:graphicFrameLocks noChangeAspect="1"/>
            </wp:cNvGraphicFramePr>
            <a:graphic>
              <a:graphicData uri="http://schemas.openxmlformats.org/drawingml/2006/picture">
                <pic:pic>
                  <pic:nvPicPr>
                    <pic:cNvPr id="0" name="A 41787-2025 karta.png"/>
                    <pic:cNvPicPr/>
                  </pic:nvPicPr>
                  <pic:blipFill>
                    <a:blip r:embed="rId16"/>
                    <a:stretch>
                      <a:fillRect/>
                    </a:stretch>
                  </pic:blipFill>
                  <pic:spPr>
                    <a:xfrm>
                      <a:off x="0" y="0"/>
                      <a:ext cx="5486400" cy="39670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7486096, E 834386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