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7325-2024 i Pajala kommun</w:t>
      </w:r>
    </w:p>
    <w:p>
      <w:r>
        <w:t>Detta klagomål behandlar höga naturvärden i avverkningsanmälan A 7325-2024 i Pajala kommun som inkom 2024-02-23 och omfattar 46,3 ha.</w:t>
      </w:r>
    </w:p>
    <w:p>
      <w:pPr>
        <w:pStyle w:val="Caption"/>
      </w:pPr>
      <w:r>
        <w:drawing>
          <wp:inline xmlns:a="http://schemas.openxmlformats.org/drawingml/2006/main" xmlns:pic="http://schemas.openxmlformats.org/drawingml/2006/picture">
            <wp:extent cx="5486400" cy="4695713"/>
            <wp:docPr id="1" name="Picture 1"/>
            <wp:cNvGraphicFramePr>
              <a:graphicFrameLocks noChangeAspect="1"/>
            </wp:cNvGraphicFramePr>
            <a:graphic>
              <a:graphicData uri="http://schemas.openxmlformats.org/drawingml/2006/picture">
                <pic:pic>
                  <pic:nvPicPr>
                    <pic:cNvPr id="0" name="A 7325-2024 karta.png"/>
                    <pic:cNvPicPr/>
                  </pic:nvPicPr>
                  <pic:blipFill>
                    <a:blip r:embed="rId16"/>
                    <a:stretch>
                      <a:fillRect/>
                    </a:stretch>
                  </pic:blipFill>
                  <pic:spPr>
                    <a:xfrm>
                      <a:off x="0" y="0"/>
                      <a:ext cx="5486400" cy="469571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7478259, E 855685 i SWEREF 99 TM.</w:t>
      </w:r>
    </w:p>
    <w:p>
      <w:r>
        <w:t>I och inom 24 meter från avverkningsanmälan finns fynd av 25 naturvårdsarter, varav 12 är rödlistade, 9 är fridlysta, 20 är typiska (T) och 6 är signalarter (S): bombmurkla (EN, §8), garnlav (VU, T), knärot (VU, T, §8), tajgaskinn (VU), gammelgransskål (NT, T), harticka (NT, T), lavskrika (NT, T, §4), rosenticka (NT, T), röd trolldruva (NT, T), tretåig hackspett (NT, T, §4), ullticka (NT, T), violmussling (NT, T), blodticka (S, T), luddlav (S, T), rödgul trumpetsvamp (S), skinnlav (S, T), stuplav (S, T), vedticka (S, T), järpe (T, §4), kransmossa (T), ormbär (T), spillkråka (T, §4), videsparv (T, §4), vanlig groda (§6) och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6047509"/>
            <wp:docPr id="2" name="Picture 2"/>
            <wp:cNvGraphicFramePr>
              <a:graphicFrameLocks noChangeAspect="1"/>
            </wp:cNvGraphicFramePr>
            <a:graphic>
              <a:graphicData uri="http://schemas.openxmlformats.org/drawingml/2006/picture">
                <pic:pic>
                  <pic:nvPicPr>
                    <pic:cNvPr id="0" name="A 7325-2024 karta knärot.png"/>
                    <pic:cNvPicPr/>
                  </pic:nvPicPr>
                  <pic:blipFill>
                    <a:blip r:embed="rId17"/>
                    <a:stretch>
                      <a:fillRect/>
                    </a:stretch>
                  </pic:blipFill>
                  <pic:spPr>
                    <a:xfrm>
                      <a:off x="0" y="0"/>
                      <a:ext cx="5486400" cy="604750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7478259, E 855685 i SWEREF 99 TM.</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 trolldruva (NT)</w:t>
      </w:r>
      <w:r>
        <w:t xml:space="preserve"> har sin utbredning i övre Norrlands skogsland från Västerbotten upp till Torne lappmark och växer framför allt i frisk-fuktig, vanligen örtrik och mycket artrik granskog på näringsrik mark med rörligt markvatten. Arten är mycket sällsynt och vanligen fåtalig på sina lokaler inom hela sitt svenska utbredningsområde. Slutavverkning kan medföra kraftig decimering eller utslagning av bestånden och det är viktigt att alla lokaler med röd trolldruva undantas från skogsbruk. Röd trolldruva är typisk art för </w:t>
      </w:r>
      <w:r>
        <w:rPr>
          <w:i/>
        </w:rPr>
        <w:t>9050 Näringsrik granskog</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Videsparv (§4)</w:t>
      </w:r>
      <w:r>
        <w:t xml:space="preserve"> är fridlyst enligt 4§ artskyddsförordningen och globalt rödlistad som nära hotad (NT) vilket innebär att Sverige har ett internationellt ansvar för arten.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Videsparv är typisk art för </w:t>
      </w:r>
      <w:r>
        <w:rPr>
          <w:i/>
        </w:rPr>
        <w:t>9740 Skogsbevuxen myr</w:t>
      </w:r>
      <w:r>
        <w:t xml:space="preserve"> (SLU Artdatabanken, 2026; IUCN, 2025;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Videsparv – ekologi samt krav på livsmiljön</w:t>
      </w:r>
    </w:p>
    <w:p>
      <w:r>
        <w:t>Videsparv (§4) är starkt knuten till sumpskogar och den viktigaste häckningsbiotopen är lövrik sumpgranskog, men kan i mer sällsynta fall även utgöras av ren barrskogsmiljö.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2026; Skogsstyrelsen, 2016).</w:t>
      </w:r>
    </w:p>
    <w:p>
      <w:r>
        <w:t xml:space="preserve">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Videsparv är typisk art för </w:t>
      </w:r>
      <w:r>
        <w:rPr>
          <w:i/>
        </w:rPr>
        <w:t>9740 Skogsbevuxen myr</w:t>
      </w:r>
      <w:r>
        <w:t>, fridlyst enligt 4§ artskyddsförordningen och globalt rödlistad som nära hotad (NT) vilket innebär att Sverige har ett internationellt ansvar för arten (SLU Artdatabanken, 2026; IUCN, 2025; Skogsstyrelsen, 2016).</w:t>
      </w:r>
    </w:p>
    <w:p>
      <w:pPr>
        <w:pStyle w:val="Heading2"/>
      </w:pPr>
      <w:r>
        <w:t>Referenser – videsparv</w:t>
      </w:r>
    </w:p>
    <w:p>
      <w:r>
        <w:t xml:space="preserve">IUCN, 2025. </w:t>
      </w:r>
      <w:r>
        <w:rPr>
          <w:i/>
        </w:rPr>
        <w:t>Emberiza rustica</w:t>
      </w:r>
      <w:r>
        <w:t>. The IUCN Red List of Threatened Species.</w:t>
      </w:r>
    </w:p>
    <w:p>
      <w:r>
        <w:t xml:space="preserve">Skogsstyrelsen, 2016. </w:t>
      </w:r>
      <w:r>
        <w:rPr>
          <w:i/>
        </w:rPr>
        <w:t xml:space="preserve">Vägledning för hänsyn till videsparv.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