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dokument behandlar höga naturvärden i avverkningsanmälan A 37735-2025 i Pajala kommun. Denna avverkningsanmälan inkom 2025-08-11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kolticka (EN), fläckporing (VU), gräddporing (VU), knärot (VU, §8), liten aspgelélav (VU), smalfotad taggsvamp (VU), blanksvart spiklav (NT), blå taggsvamp (NT), blågrå svartspik (NT), dvärgbägarlav (NT), gammelgransskål (NT), garnlav (NT), järpe (NT, §4), kolflarnlav (NT), mörk kolflarnlav (NT), nordtagging (NT), orange taggsvamp (NT), stjärntagging (NT), svartvit taggsvamp (NT), tallticka (NT), talltita (NT, §4), tretåig hackspett (NT, §4), vedflamlav (NT), vedskivlav (NT), vitgrynig nållav (NT), dropptaggsvamp (S), grönpyrola (S), källpraktmossa (S), lappranunkel (S, §7), nästlav (S), plattlummer (S, §9), skarp dropptaggsvamp (S), skinnlav (S), kungsfågel (§4), tjäder (§4), skogsödla (§6),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7432062, E 835280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lappranunkel (S, §7), plattlummer (S, §9), kungsfågel (§4), tjäder (§4), skogsödla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922"/>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