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48263-2021 i Pajala kommun</w:t>
      </w:r>
    </w:p>
    <w:p>
      <w:r>
        <w:t>Denna tillsynsbegäran behandlar höga naturvärden i avverkningsanmälan A 48263-2021 i Pajala kommun som inkom 2021-09-10 och omfattar 17,7 ha.</w:t>
      </w:r>
    </w:p>
    <w:p>
      <w:pPr>
        <w:pStyle w:val="Caption"/>
      </w:pPr>
      <w:r>
        <w:drawing>
          <wp:inline xmlns:a="http://schemas.openxmlformats.org/drawingml/2006/main" xmlns:pic="http://schemas.openxmlformats.org/drawingml/2006/picture">
            <wp:extent cx="5486400" cy="4460764"/>
            <wp:docPr id="1" name="Picture 1"/>
            <wp:cNvGraphicFramePr>
              <a:graphicFrameLocks noChangeAspect="1"/>
            </wp:cNvGraphicFramePr>
            <a:graphic>
              <a:graphicData uri="http://schemas.openxmlformats.org/drawingml/2006/picture">
                <pic:pic>
                  <pic:nvPicPr>
                    <pic:cNvPr id="0" name="A 48263-2021 karta.png"/>
                    <pic:cNvPicPr/>
                  </pic:nvPicPr>
                  <pic:blipFill>
                    <a:blip r:embed="rId16"/>
                    <a:stretch>
                      <a:fillRect/>
                    </a:stretch>
                  </pic:blipFill>
                  <pic:spPr>
                    <a:xfrm>
                      <a:off x="0" y="0"/>
                      <a:ext cx="5486400" cy="44607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7519270, E 850810 i SWEREF 99 TM.</w:t>
      </w:r>
    </w:p>
    <w:p>
      <w:r>
        <w:t>I avverkningsanmälan finns fynd av 16 naturvårdsarter, varav 15 är rödlistade, 6 är typiska (T) och 1 är signalart (S): urskogsporing (EN), gräddporing (VU, T), gränsticka (VU, T), lateritticka (VU), smalfotad taggsvamp (VU), blå taggsvamp (NT, T), blågrå svartspik (NT), dvärgbägarlav (NT, T), gäckporing (NT), kortskaftad ärgspik (NT), mörk kolflarnlav (NT), vaddporing (NT), vedflamlav (NT), vedskivlav (NT, T), vitplätt (NT)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Gäckporing (NT)</w:t>
      </w:r>
      <w:r>
        <w:t xml:space="preserve"> är en brunrötande vedsvamp som i Sverige mest tycks förekomma i talldominerad skog med mycket ved i olika nedbrytningsstadier, helst senvuxen tallved. Arten hotas främst av slutavverkning och av den minskande tillgången på död ved i de brukade skogarna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gräddporing (VU, T), gränsticka (VU, T), blå taggsvamp (NT, T), dvärgbägarlav (NT, T), vedskivlav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