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18784-2024 i Gällivare kommun</w:t>
      </w:r>
    </w:p>
    <w:p>
      <w:r>
        <w:t>Denna tillsynsbegäran behandlar höga naturvärden i avverkningsanmälan A 18784-2024 i Gällivare kommun som inkom 2024-05-14 och omfattar 20,3 ha.</w:t>
      </w:r>
    </w:p>
    <w:p>
      <w:pPr>
        <w:pStyle w:val="Caption"/>
      </w:pPr>
      <w:r>
        <w:drawing>
          <wp:inline xmlns:a="http://schemas.openxmlformats.org/drawingml/2006/main" xmlns:pic="http://schemas.openxmlformats.org/drawingml/2006/picture">
            <wp:extent cx="5486400" cy="4815212"/>
            <wp:docPr id="1" name="Picture 1"/>
            <wp:cNvGraphicFramePr>
              <a:graphicFrameLocks noChangeAspect="1"/>
            </wp:cNvGraphicFramePr>
            <a:graphic>
              <a:graphicData uri="http://schemas.openxmlformats.org/drawingml/2006/picture">
                <pic:pic>
                  <pic:nvPicPr>
                    <pic:cNvPr id="0" name="A 18784-2024 karta.png"/>
                    <pic:cNvPicPr/>
                  </pic:nvPicPr>
                  <pic:blipFill>
                    <a:blip r:embed="rId16"/>
                    <a:stretch>
                      <a:fillRect/>
                    </a:stretch>
                  </pic:blipFill>
                  <pic:spPr>
                    <a:xfrm>
                      <a:off x="0" y="0"/>
                      <a:ext cx="5486400" cy="48152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7465062, E 745026 i SWEREF 99 TM.</w:t>
      </w:r>
    </w:p>
    <w:p>
      <w:r>
        <w:t>I och inom 21 meter från avverkningsanmälan finns fynd av 22 naturvårdsarter, varav 13 är rödlistade, 16 är fridlysta, 9 är typiska (T) och 4 är signalarter (S): grönfink (VU, §4), knärot (VU, T, §8), tornseglare (VU, §4), björktrast (NT, §4), blåhake (NT, §4), gulsparv (NT, §4), järnsparv (NT, §4), rosenticka (NT, T), rödvingetrast (NT, §4), sädesärla (NT, §4), ullticka (NT, T), violmussling (NT, T), äggvaxskivling (NT), korallrot (S, T, §8), luddlav (S, T), spindelblomster (S, T, §8), stuplav (S, T), järpe (T, §4), grönsiska (§4), kungsfågel (§4), ärtsångare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3.76 ha med buffertzonerna och får av detta skäl inte avverkas.</w:t>
      </w:r>
    </w:p>
    <w:p>
      <w:pPr>
        <w:pStyle w:val="Caption"/>
      </w:pPr>
      <w:r>
        <w:drawing>
          <wp:inline xmlns:a="http://schemas.openxmlformats.org/drawingml/2006/main" xmlns:pic="http://schemas.openxmlformats.org/drawingml/2006/picture">
            <wp:extent cx="5486400" cy="4447566"/>
            <wp:docPr id="2" name="Picture 2"/>
            <wp:cNvGraphicFramePr>
              <a:graphicFrameLocks noChangeAspect="1"/>
            </wp:cNvGraphicFramePr>
            <a:graphic>
              <a:graphicData uri="http://schemas.openxmlformats.org/drawingml/2006/picture">
                <pic:pic>
                  <pic:nvPicPr>
                    <pic:cNvPr id="0" name="A 18784-2024 karta knärot.png"/>
                    <pic:cNvPicPr/>
                  </pic:nvPicPr>
                  <pic:blipFill>
                    <a:blip r:embed="rId17"/>
                    <a:stretch>
                      <a:fillRect/>
                    </a:stretch>
                  </pic:blipFill>
                  <pic:spPr>
                    <a:xfrm>
                      <a:off x="0" y="0"/>
                      <a:ext cx="5486400" cy="444756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7465062, E 745026 i SWEREF 99 TM.</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rosenticka (NT, T), ullticka (NT, T), violmussling (NT, T), korallrot (S, T, §8), luddlav (S, T), spindelblomster (S, T, §8), stuplav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