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10151-2023 i Gällivare kommun</w:t>
      </w:r>
    </w:p>
    <w:p>
      <w:r>
        <w:t>Detta dokument behandlar höga naturvärden i avverkningsanmälan A 10151-2023 i Gällivare kommun. Denna avverkningsanmälan inkom 2023-02-23 och omfattar 25,9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33 naturvårdsarter hittats: fläckporing (VU), gräddporing (VU), smalfotad taggsvamp (VU), spadskinn (VU), blanksvart spiklav (NT), blå taggsvamp (NT), dvärgbägarlav (NT), garnlav (NT), kolflarnlav (NT), Leptoporus erubescens (NT), mjölsvärting (NT), motaggsvamp (NT), mörk kolflarnlav (NT), nordtagging (NT), orange taggsvamp (NT), skrovlig taggsvamp (NT), spillkråka (NT, §4), svart taggsvamp (NT), svartvit taggsvamp (NT), tallriska (NT), talltaggsvamp (NT), tallticka (NT), vaddporing (NT), vedflamlav (NT), vedskivlav (NT), dropptaggsvamp (S), plattlummer (S, §9), skarp dropptaggsvamp (S), vedticka (S), zontaggsvamp (S), lavskrika (§4), orre (§4) och tjäder (§4). Av dessa är 25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1817"/>
            <wp:docPr id="1" name="Picture 1"/>
            <wp:cNvGraphicFramePr>
              <a:graphicFrameLocks noChangeAspect="1"/>
            </wp:cNvGraphicFramePr>
            <a:graphic>
              <a:graphicData uri="http://schemas.openxmlformats.org/drawingml/2006/picture">
                <pic:pic>
                  <pic:nvPicPr>
                    <pic:cNvPr id="0" name="A 10151-2023 karta.png"/>
                    <pic:cNvPicPr/>
                  </pic:nvPicPr>
                  <pic:blipFill>
                    <a:blip r:embed="rId16"/>
                    <a:stretch>
                      <a:fillRect/>
                    </a:stretch>
                  </pic:blipFill>
                  <pic:spPr>
                    <a:xfrm>
                      <a:off x="0" y="0"/>
                      <a:ext cx="5486400" cy="2991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7392002, E 811286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i/>
        </w:rPr>
        <w:t xml:space="preserve">Leptoporus erubescens </w:t>
      </w:r>
      <w:r>
        <w:rPr>
          <w:b/>
        </w:rPr>
        <w:t>(NT)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plattlummer (S, §9), lavskrika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