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23357-2024 i Gällivare kommun</w:t>
      </w:r>
    </w:p>
    <w:p>
      <w:r>
        <w:t>Detta klagomål behandlar höga naturvärden i avverkningsanmälan A 23357-2024 i Gällivare kommun som inkom 2024-06-10 och omfattar 16,5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23357-2024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7429430, E 800688 i SWEREF 99 TM.</w:t>
      </w:r>
    </w:p>
    <w:p>
      <w:r>
        <w:t>I och inom 21 meter från avverkningsanmälan finns fynd av 17 naturvårdsarter, varav 10 är rödlistade, 5 är fridlysta, 13 är typiska (T) och 4 är signalarter (S): garnlav (VU, T), knärot (VU, T, §8), tallgråticka (VU), dropptaggsvamp (NT, T), dvärgbägarlav (NT, T), gammelgransskål (NT, T), lunglav (NT, T), mörk kolflarnlav (NT), vedskivlav (NT, T), vedtrappmossa (NT, T), källpraktmossa (S, T), plattlummer (S, T, §9), skinnlav (S, T), stuplav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43 fyndplatser för knärot registrerade på Artportalen. Figur 2 visar gränserna för buffertzoner på 50 m, som behöver lämnas kring fyndplatserna för att knärotslokalerna inte ska försvinna vid en avverkning. Av det avverkningsanmälda området överlappar 10.47 ha med buffertzonerna och får av detta skäl inte avverkas.</w:t>
      </w:r>
    </w:p>
    <w:p>
      <w:pPr>
        <w:pStyle w:val="Caption"/>
      </w:pPr>
      <w:r>
        <w:drawing>
          <wp:inline xmlns:a="http://schemas.openxmlformats.org/drawingml/2006/main" xmlns:pic="http://schemas.openxmlformats.org/drawingml/2006/picture">
            <wp:extent cx="5486400" cy="5378934"/>
            <wp:docPr id="2" name="Picture 2"/>
            <wp:cNvGraphicFramePr>
              <a:graphicFrameLocks noChangeAspect="1"/>
            </wp:cNvGraphicFramePr>
            <a:graphic>
              <a:graphicData uri="http://schemas.openxmlformats.org/drawingml/2006/picture">
                <pic:pic>
                  <pic:nvPicPr>
                    <pic:cNvPr id="0" name="A 23357-2024 karta knärot.png"/>
                    <pic:cNvPicPr/>
                  </pic:nvPicPr>
                  <pic:blipFill>
                    <a:blip r:embed="rId17"/>
                    <a:stretch>
                      <a:fillRect/>
                    </a:stretch>
                  </pic:blipFill>
                  <pic:spPr>
                    <a:xfrm>
                      <a:off x="0" y="0"/>
                      <a:ext cx="5486400" cy="53789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7429430, E 800688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