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51389-2023 i Gällivare kommun</w:t>
      </w:r>
    </w:p>
    <w:p>
      <w:r>
        <w:t>Detta klagomål behandlar höga naturvärden i avverkningsanmälan A 51389-2023 i Gällivare kommun som inkom 2023-10-14 och omfattar 4,5 ha.</w:t>
      </w:r>
    </w:p>
    <w:p>
      <w:pPr>
        <w:pStyle w:val="Caption"/>
      </w:pPr>
      <w:r>
        <w:drawing>
          <wp:inline xmlns:a="http://schemas.openxmlformats.org/drawingml/2006/main" xmlns:pic="http://schemas.openxmlformats.org/drawingml/2006/picture">
            <wp:extent cx="5486400" cy="224357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224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7450393, E 762848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