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25467-2026 i Gällivare kommun</w:t>
      </w:r>
    </w:p>
    <w:p>
      <w:r>
        <w:t>Detta dokument behandlar höga naturvärden i avverkningsanmälan A 25467-2026 i Gällivare kommun som inkom 2026-06-04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gammelgransskål (NT, T), källpraktmossa (S, T), lappranunkel (S, T, §7)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25467-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7439936, E 795782 i SWEREF 99 TM.</w:t>
      </w:r>
    </w:p>
    <w:p>
      <w:pPr>
        <w:pStyle w:val="Heading2"/>
      </w:pPr>
      <w:r>
        <w:t>Fridlysta arter</w:t>
      </w:r>
    </w:p>
    <w:p>
      <w:r>
        <w:t>Följande fridlysta arter har sina livsmiljöer och växtplatser i den avverkningsanmälda skogen: lappranunkel (S, T, §7) och revlummer (§9).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