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41650-2023 i Gällivare kommun</w:t>
      </w:r>
    </w:p>
    <w:p>
      <w:r>
        <w:t>Detta klagomål behandlar höga naturvärden i avverkningsanmälan A 41650-2023 i Gällivare kommun som inkom 2023-09-06 och omfattar 16,1 ha.</w:t>
      </w:r>
    </w:p>
    <w:p>
      <w:pPr>
        <w:pStyle w:val="Caption"/>
      </w:pPr>
      <w:r>
        <w:drawing>
          <wp:inline xmlns:a="http://schemas.openxmlformats.org/drawingml/2006/main" xmlns:pic="http://schemas.openxmlformats.org/drawingml/2006/picture">
            <wp:extent cx="5255852" cy="5724000"/>
            <wp:docPr id="1" name="Picture 1"/>
            <wp:cNvGraphicFramePr>
              <a:graphicFrameLocks noChangeAspect="1"/>
            </wp:cNvGraphicFramePr>
            <a:graphic>
              <a:graphicData uri="http://schemas.openxmlformats.org/drawingml/2006/picture">
                <pic:pic>
                  <pic:nvPicPr>
                    <pic:cNvPr id="0" name="A 41650-2023 karta.png"/>
                    <pic:cNvPicPr/>
                  </pic:nvPicPr>
                  <pic:blipFill>
                    <a:blip r:embed="rId16"/>
                    <a:stretch>
                      <a:fillRect/>
                    </a:stretch>
                  </pic:blipFill>
                  <pic:spPr>
                    <a:xfrm>
                      <a:off x="0" y="0"/>
                      <a:ext cx="5255852"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7423698, E 752021 i SWEREF 99 TM.</w:t>
      </w:r>
    </w:p>
    <w:p>
      <w:r>
        <w:t>I avverkningsanmälan finns fynd av 2 naturvårdsarter, varav 2 är rödlistade och 1 är typisk (T): gräddporing (VU, T) och vaddporing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Gräddporing (VU)</w:t>
      </w:r>
      <w:r>
        <w:t xml:space="preserve"> växer nästan enbart i urskogsartad barrskog på gamla, kraftigt murkna, grova och mossbelupna tallågor i något fuktiga och skuggiga lägen. Arten är placerad högst upp i Skogsstyrelsens värdepyramid för bedömning av skog med höga naturvärden och indikerar gamla och relativt orörda tallnaturskogar med höga naturvärden där det under låg tid kontinuerligt funnits inslag av grova tallågor. För att på sikt hejda artens vikande trend behöver merparten av gräddporingens nu kända växtplatser undantas från skogsbruk. Gräddporing är typisk art för </w:t>
      </w:r>
      <w:r>
        <w:rPr>
          <w:i/>
        </w:rPr>
        <w:t>9010 Taiga</w:t>
      </w:r>
      <w:r>
        <w:t xml:space="preserve"> (SLU Artdatabanken, 2024; Nitare &amp; Skogsstyrelsen, 2019).</w:t>
      </w:r>
    </w:p>
    <w:p>
      <w:r>
        <w:rPr>
          <w:b/>
        </w:rPr>
        <w:t xml:space="preserve">Vaddporing (NT) </w:t>
      </w:r>
      <w:r>
        <w:t>är en brunrötande vednedbrytare som hittas på undersidan av liggande murken tallved i olika former. Substratet utgörs framför allt av den typ av hård, kådimpregnerad och ofta kolad tallved som skapas i brandpräglad skog. Vedtypen nybildas i mycket liten omfattning och det är sannolikt att arten upplever en utdöendeskuld. För att garantera artens fortlevnad bör man både säkra att artens växtplatser hålls intakta samt att långsiktigt säkerställa att ny ved tillkommer, allra helst i omedelbar anslutning till artens växtplatser. Skoglig gallring och annat uttag av virke innebär ett hot mot arten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