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36252-2023 i Gällivare kommun</w:t>
      </w:r>
    </w:p>
    <w:p>
      <w:r>
        <w:t>Detta dokument behandlar höga naturvärden i avverkningsanmälan A 36252-2023 i Gällivare kommun. Denna avverkningsanmälan inkom 2023-08-12 00:00:00 och omfattar 14,1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svartvit taggsvamp (NT) och talltaggsvamp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66606"/>
            <wp:docPr id="1" name="Picture 1"/>
            <wp:cNvGraphicFramePr>
              <a:graphicFrameLocks noChangeAspect="1"/>
            </wp:cNvGraphicFramePr>
            <a:graphic>
              <a:graphicData uri="http://schemas.openxmlformats.org/drawingml/2006/picture">
                <pic:pic>
                  <pic:nvPicPr>
                    <pic:cNvPr id="0" name="A 36252-2023 karta.png"/>
                    <pic:cNvPicPr/>
                  </pic:nvPicPr>
                  <pic:blipFill>
                    <a:blip r:embed="rId16"/>
                    <a:stretch>
                      <a:fillRect/>
                    </a:stretch>
                  </pic:blipFill>
                  <pic:spPr>
                    <a:xfrm>
                      <a:off x="0" y="0"/>
                      <a:ext cx="5486400" cy="35666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7421303, E 755023 i SWEREF 99 TM.</w:t>
      </w:r>
    </w:p>
    <w:p>
      <w:r>
        <w:rPr>
          <w:b/>
        </w:rPr>
        <w:t xml:space="preserve">Svartvit taggsvamp (NT) </w:t>
      </w:r>
      <w:r>
        <w:t>bildar mykorrhiza med tall, troligen även med gran. Den växer huvudsakligen i äldre, naturligt uppkommen skog på torr eller frisk mark och förekommer såväl på tallhedar som i mossig barrblandskog. Flera olika former har påträffats vid DNA-undersökningar av europeiskt material och det är oklart hur många former som finns i värd land. Kalavverkning av äldre skog är ett reellt hot, liksom maskinell markberedning och minskad andel självföryngring. Lokaler som fortfarande håller svampen behöver säkerställas (SLU Artdatabanken, 2024; Nitare &amp; Skogsstyrelsen, 2019).</w:t>
      </w:r>
    </w:p>
    <w:p>
      <w:r>
        <w:rPr>
          <w:b/>
        </w:rPr>
        <w:t xml:space="preserve">Talltaggsvamp (NT) </w:t>
      </w:r>
      <w:r>
        <w:t>förekommer främst i tallnaturskogar eller tallskogar av kontinuitetsskogskaraktär där den bildar mykorrhiza med tall. Särskilt frekvent är den i sandtallskogar med inslag av gamla träd, t.ex. på grusåsar, stränder och sandhedar. Arten hotas främst av skogsavverkning och tycks försvinna efter slutavverkning, markberedning och plantering. Talltaggsvamp är globalt rödlistad som nära hotad (NT) vilket innebär att Sverige har ett internationellt ansvar för arten (IUCN, 2025;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2025-12-12</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