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18784-2024 i Gällivare kommun</w:t>
      </w:r>
    </w:p>
    <w:p>
      <w:r>
        <w:t>Detta klagomål behandlar höga naturvärden i avverkningsanmälan A 18784-2024 i Gällivare kommun som inkom 2024-05-14 och omfattar 20,3 ha.</w:t>
      </w:r>
    </w:p>
    <w:p>
      <w:pPr>
        <w:pStyle w:val="Caption"/>
      </w:pPr>
      <w:r>
        <w:drawing>
          <wp:inline xmlns:a="http://schemas.openxmlformats.org/drawingml/2006/main" xmlns:pic="http://schemas.openxmlformats.org/drawingml/2006/picture">
            <wp:extent cx="5486400" cy="4815212"/>
            <wp:docPr id="1" name="Picture 1"/>
            <wp:cNvGraphicFramePr>
              <a:graphicFrameLocks noChangeAspect="1"/>
            </wp:cNvGraphicFramePr>
            <a:graphic>
              <a:graphicData uri="http://schemas.openxmlformats.org/drawingml/2006/picture">
                <pic:pic>
                  <pic:nvPicPr>
                    <pic:cNvPr id="0" name="A 18784-2024 karta.png"/>
                    <pic:cNvPicPr/>
                  </pic:nvPicPr>
                  <pic:blipFill>
                    <a:blip r:embed="rId16"/>
                    <a:stretch>
                      <a:fillRect/>
                    </a:stretch>
                  </pic:blipFill>
                  <pic:spPr>
                    <a:xfrm>
                      <a:off x="0" y="0"/>
                      <a:ext cx="5486400" cy="4815212"/>
                    </a:xfrm>
                    <a:prstGeom prst="rect"/>
                  </pic:spPr>
                </pic:pic>
              </a:graphicData>
            </a:graphic>
          </wp:inline>
        </w:drawing>
      </w:r>
    </w:p>
    <w:p>
      <w:pPr>
        <w:pStyle w:val="Caption"/>
        <w:spacing w:after="240"/>
      </w:pPr>
      <w:r>
        <w:t>Figur 1. Fyndplatser för naturvårdsarter i och inom 21 meter från avverkningsanmälan. Markörer utan svart kant är placerade på fyndplatsen. Markörer med svart kant är placerade vid sidan av fyndplatsen och har ett svart streck som visar fyndplatsens exakta position. Kartans mittpunktskoordinat är N 7465062, E 745026 i SWEREF 99 TM.</w:t>
      </w:r>
    </w:p>
    <w:p>
      <w:r>
        <w:t>I och inom 21 meter från avverkningsanmälan finns fynd av 22 naturvårdsarter, varav 13 är rödlistade, 16 är fridlysta, 9 är typiska (T) och 4 är signalarter (S): grönfink (VU, §4), knärot (VU, T, §8), tornseglare (VU, §4), björktrast (NT, §4), blåhake (NT, §4), gulsparv (NT, §4), järnsparv (NT, §4), rosenticka (NT, T), rödvingetrast (NT, §4), sädesärla (NT, §4), ullticka (NT, T), violmussling (NT, T), äggvaxskivling (NT), korallrot (S, T, §8), luddlav (S, T), spindelblomster (S, T, §8), stuplav (S, T), järpe (T, §4), grönsiska (§4), kungsfågel (§4), ärtsångare (§4)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11 fyndplatser för knärot registrerade på Artportalen. Figur 2 visar gränserna för buffertzoner på 50 m, som behöver lämnas kring fyndplatserna för att knärotslokalerna inte ska försvinna vid en avverkning. Av det avverkningsanmälda området överlappar 3.76 ha med buffertzonerna och får av detta skäl inte avverkas.</w:t>
      </w:r>
    </w:p>
    <w:p>
      <w:pPr>
        <w:pStyle w:val="Caption"/>
      </w:pPr>
      <w:r>
        <w:drawing>
          <wp:inline xmlns:a="http://schemas.openxmlformats.org/drawingml/2006/main" xmlns:pic="http://schemas.openxmlformats.org/drawingml/2006/picture">
            <wp:extent cx="5486400" cy="4447566"/>
            <wp:docPr id="2" name="Picture 2"/>
            <wp:cNvGraphicFramePr>
              <a:graphicFrameLocks noChangeAspect="1"/>
            </wp:cNvGraphicFramePr>
            <a:graphic>
              <a:graphicData uri="http://schemas.openxmlformats.org/drawingml/2006/picture">
                <pic:pic>
                  <pic:nvPicPr>
                    <pic:cNvPr id="0" name="A 18784-2024 karta knärot.png"/>
                    <pic:cNvPicPr/>
                  </pic:nvPicPr>
                  <pic:blipFill>
                    <a:blip r:embed="rId17"/>
                    <a:stretch>
                      <a:fillRect/>
                    </a:stretch>
                  </pic:blipFill>
                  <pic:spPr>
                    <a:xfrm>
                      <a:off x="0" y="0"/>
                      <a:ext cx="5486400" cy="4447566"/>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7465062, E 745026 i SWEREF 99 TM.</w:t>
      </w:r>
    </w:p>
    <w:p>
      <w:r>
        <w:rPr>
          <w:b/>
        </w:rPr>
        <w:t>Tornseglare (VU, §4)</w:t>
      </w:r>
      <w:r>
        <w:t xml:space="preserve"> har minskat med 40 (30–50) % under de senaste 24 åren och minskningstakten överstiger gränsvärdet för sårbar (VU). Tornseglaren är en typisk hålhäckare som numera huvudsakligen är knuten till mänsklig bebyggelse. En mindre andel av beståndet häckar i mer ursprungliga miljöer, i första hand i gamla hackspetthål (främst spillkråkehål) och andra typer av håligheter i träd, men även i klippskrevor. I de inre delarna av de två nordligaste länen (Lappland) häckar den huvudsakligen i ren skogsmiljö, framförallt i gammal gles tallskog. För de tornseglare som häckar i träd i Norrlands inland har situationen sannolikt försämrats till följd av minskad mängd hålträd och av stora arealer tät produktionsskog. När arten förekommer i sluten skog handlar det ofta om skyddsvärda skogsmiljöer med äldre tallskog av naturskogskaraktär (SLU Artdatabanken, 2026; Skogsstyrelsen, 2016).</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Violmussling (NT)</w:t>
      </w:r>
      <w:r>
        <w:t xml:space="preserve"> växer på döda, oftast omkullfallna stammar av gran eller tall. De flesta fynden har gjorts i gammal, orörd skog och arten är en mycket god indikator på förekomst av lång skoglig kontinuitet. Platser som hyser stora bestånd av violmussling bör i första hand skyddas och undantas från skogsbruk. Flera sällsynta och mycket sällsynta tickor och skalbaggar är mer eller mindre starkt associerade med violtickor </w:t>
      </w:r>
      <w:r>
        <w:rPr>
          <w:i/>
        </w:rPr>
        <w:t>Trichaptum spp.</w:t>
      </w:r>
      <w:r>
        <w:t xml:space="preserve"> och död ved som först rötats av någon </w:t>
      </w:r>
      <w:r>
        <w:rPr>
          <w:i/>
        </w:rPr>
        <w:t>Trichaptum-art</w:t>
      </w:r>
      <w:r>
        <w:t>. Bland dessa kan nämnas gul mjukporing (CR), lämmelporing (CR), kilporing (VU), parasitporing (VU), gropig brunbagge (NT), gulbandad brunbagge</w:t>
      </w:r>
      <w:r>
        <w:rPr>
          <w:i/>
        </w:rPr>
        <w:t xml:space="preserve"> </w:t>
      </w:r>
      <w:r>
        <w:t>(NT) och brunkantad brunbagge</w:t>
      </w:r>
      <w:r>
        <w:rPr>
          <w:i/>
        </w:rPr>
        <w:t xml:space="preserve"> </w:t>
      </w:r>
      <w:r>
        <w:t xml:space="preserve">(DD). Violmussling är typisk art för </w:t>
      </w:r>
      <w:r>
        <w:rPr>
          <w:i/>
        </w:rPr>
        <w:t>9010 Taiga</w:t>
      </w:r>
      <w:r>
        <w:t xml:space="preserve"> (SLU Artdatabanken, 2026; Nitare &amp; Skogsstyrelsen, 2019).</w:t>
      </w:r>
    </w:p>
    <w:p>
      <w:r>
        <w:rPr>
          <w:b/>
        </w:rPr>
        <w:t>Äggvaxskivling (NT)</w:t>
      </w:r>
      <w:r>
        <w:t xml:space="preserve"> bildar mykorrhiza med gran och förekommer huvudsakligen i äldre blåbärsgranskog. Har i Sverige en nordlig utbredningsbild och är relativt vanlig i norra Sverige. Total population i landet bedöms ha minskat kraftigt och fortgående att minska p.g.a. slutavverkningar av kontinuitetsskogar. Skogar med rik förekomst av äggvaxskivling brukar ha en artrik flora av mykorrhizasvampar och kan betraktas som nyckelbiotoper (SLU Artdatabanken, 2024).</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Korallrot är typisk art för </w:t>
      </w:r>
      <w:r>
        <w:rPr>
          <w:i/>
        </w:rPr>
        <w:t>9080 Lövsumpskog</w:t>
      </w:r>
      <w:r>
        <w:t xml:space="preserve"> och fridlyst enligt 8 § artskyddsförordningen (SLU Artdatabanken, 2024; Nitare &amp; Skogsstyrelsen, 2019).</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22 naturvårdsarter varav 13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2026-10-04</w:t>
      <w:br/>
      <w:br/>
    </w:r>
    <w:r>
      <w:t>Till: Övriga statliga verk och myndigheter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