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24318-2023 i Gällivare kommun</w:t>
      </w:r>
    </w:p>
    <w:p>
      <w:r>
        <w:t>Denna tillsynsbegäran behandlar höga naturvärden i avverkningsanmälan A 24318-2023 i Gällivare kommun som inkom 2023-06-03 och omfattar 22,1 ha.</w:t>
      </w:r>
    </w:p>
    <w:p>
      <w:pPr>
        <w:pStyle w:val="Caption"/>
      </w:pPr>
      <w:r>
        <w:drawing>
          <wp:inline xmlns:a="http://schemas.openxmlformats.org/drawingml/2006/main" xmlns:pic="http://schemas.openxmlformats.org/drawingml/2006/picture">
            <wp:extent cx="5486400" cy="4340101"/>
            <wp:docPr id="1" name="Picture 1"/>
            <wp:cNvGraphicFramePr>
              <a:graphicFrameLocks noChangeAspect="1"/>
            </wp:cNvGraphicFramePr>
            <a:graphic>
              <a:graphicData uri="http://schemas.openxmlformats.org/drawingml/2006/picture">
                <pic:pic>
                  <pic:nvPicPr>
                    <pic:cNvPr id="0" name="A 24318-2023 karta.png"/>
                    <pic:cNvPicPr/>
                  </pic:nvPicPr>
                  <pic:blipFill>
                    <a:blip r:embed="rId16"/>
                    <a:stretch>
                      <a:fillRect/>
                    </a:stretch>
                  </pic:blipFill>
                  <pic:spPr>
                    <a:xfrm>
                      <a:off x="0" y="0"/>
                      <a:ext cx="5486400" cy="434010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7399038, E 782813 i SWEREF 99 TM.</w:t>
      </w:r>
    </w:p>
    <w:p>
      <w:r>
        <w:t>I och inom 20 meter från avverkningsanmälan finns fynd av 11 naturvårdsarter, varav 7 är rödlistade, 4 är fridlysta, 10 är typiska (T) och 3 är signalarter (S): doftticka (VU, T, §8), garnlav (VU, T), knottrig blåslav (NT, T), lavskrika (NT, T, §4), skrovellav (NT, T), tretåig hackspett (NT, T, §4), vaddporing (NT), stuplav (S, T), vedticka (S, T), ögonpyrola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knottrig blåslav (NT, T), lavskrika (NT, T, §4), skrovellav (NT, T), tretåig hackspett (NT, T, §4), stuplav (S, T), vedticka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