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31333-2025 i Gällivare kommun</w:t>
      </w:r>
    </w:p>
    <w:p>
      <w:r>
        <w:t>Denna tillsynsbegäran behandlar höga naturvärden i avverkningsanmälan A 31333-2025 i Gällivare kommun som inkom 2025-06-24 och omfattar 18,2 ha.</w:t>
      </w:r>
    </w:p>
    <w:p>
      <w:pPr>
        <w:pStyle w:val="Caption"/>
      </w:pPr>
      <w:r>
        <w:drawing>
          <wp:inline xmlns:a="http://schemas.openxmlformats.org/drawingml/2006/main" xmlns:pic="http://schemas.openxmlformats.org/drawingml/2006/picture">
            <wp:extent cx="4821082" cy="5724000"/>
            <wp:docPr id="1" name="Picture 1"/>
            <wp:cNvGraphicFramePr>
              <a:graphicFrameLocks noChangeAspect="1"/>
            </wp:cNvGraphicFramePr>
            <a:graphic>
              <a:graphicData uri="http://schemas.openxmlformats.org/drawingml/2006/picture">
                <pic:pic>
                  <pic:nvPicPr>
                    <pic:cNvPr id="0" name="A 31333-2025 karta.png"/>
                    <pic:cNvPicPr/>
                  </pic:nvPicPr>
                  <pic:blipFill>
                    <a:blip r:embed="rId16"/>
                    <a:stretch>
                      <a:fillRect/>
                    </a:stretch>
                  </pic:blipFill>
                  <pic:spPr>
                    <a:xfrm>
                      <a:off x="0" y="0"/>
                      <a:ext cx="4821082" cy="5724000"/>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7391171, E 811834 i SWEREF 99 TM.</w:t>
      </w:r>
    </w:p>
    <w:p>
      <w:r>
        <w:t>I och inom 22 meter från avverkningsanmälan finns fynd av 34 naturvårdsarter, varav 25 är rödlistade, 7 är fridlysta, 22 är typiska (T) och 5 är signalarter (S): fläckporing (VU, T), garnlav (VU, T), gräddporing (VU, T), lappticka (VU, T), smalfotad taggsvamp (VU), blanksvart spiklav (NT), blå taggsvamp (NT, T), dropptaggsvamp (NT, T), dvärgbägarlav (NT, T), gammelgransskål (NT, T), kolflarnlav (NT, T), kortskaftad ärgspik (NT), lavskrika (NT, T, §4), mörk kolflarnlav (NT), nordtagging (NT), rosenticka (NT, T), svartvit taggsvamp (NT), talltagel (NT, T), talltita (NT, §4), tretåig hackspett (NT, T, §4), ullticka (NT, T), vaddporing (NT), vedflamlav (NT), vedskivlav (NT, T), vitplätt (NT), bronshjon (S, T), luddlav (S, T), nästlav (S, T), stuplav (S, T), vedticka (S, T), spillkråka (T, §4), tjäder (T, §4), kungsfågel (§4) och vanlig groda (§6).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Fläckporing (VU)</w:t>
      </w:r>
      <w:r>
        <w:t xml:space="preserve"> är en mycket bra signalart som visar på tallnaturskogar med höga naturvärden. Den är placerad högst upp i Skogsstyrelsens värdepyramid för bedömning av skog med höga naturvärden och indikerar områden som är mer eller mindre opåverkade av skogsbruk och där det funnits en kontinuitet av tallågor i olika nedbrytningsstadier. För att på lång sikt bibehålla livskraftiga populationer i ett område behövs troligen större skyddade områden som tillåter att man upprätthåller en naturlig branddynamik. Fläckporing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Gräddporing (VU)</w:t>
      </w:r>
      <w:r>
        <w:t xml:space="preserve"> växer nästan enbart i urskogsartad barrskog på gamla, kraftigt murkna, grova och mossbelupna tallågor i något fuktiga och skuggiga lägen. Arten är placerad högst upp i Skogsstyrelsens värdepyramid för bedömning av skog med höga naturvärden och indikerar gamla och relativt orörda tallnaturskogar med höga naturvärden där det under låg tid kontinuerligt funnits inslag av grova tallågor. För att på sikt hejda artens vikande trend behöver merparten av gräddporingens nu kända växtplatser undantas från skogsbruk. Gräddporing är typisk art för </w:t>
      </w:r>
      <w:r>
        <w:rPr>
          <w:i/>
        </w:rPr>
        <w:t>9010 Taiga</w:t>
      </w:r>
      <w:r>
        <w:t xml:space="preserve"> (SLU Artdatabanken, 2024; Nitare &amp; Skogsstyrelsen, 2019).</w:t>
      </w:r>
    </w:p>
    <w:p>
      <w:r>
        <w:rPr>
          <w:b/>
        </w:rPr>
        <w:t>Lappticka (VU)</w:t>
      </w:r>
      <w:r>
        <w:t xml:space="preserve">, rödlistad som sårbar, är knuten till gamla granskogar med riklig förekomst av död ved. Den klassas som en “urskogsindikator” och alla skogsskötselåtgärder på eller i omedelbar närhet av lokalerna utgör ett hot. Lappticka är typisk art för </w:t>
      </w:r>
      <w:r>
        <w:rPr>
          <w:i/>
        </w:rPr>
        <w:t>9010 Taiga</w:t>
      </w:r>
      <w:r>
        <w:t xml:space="preserve"> (Nitare &amp; Skogsstyrelsen, 2019; SLU Artdatabanken, 2024).</w:t>
      </w:r>
    </w:p>
    <w:p>
      <w:r>
        <w:rPr>
          <w:b/>
        </w:rPr>
        <w:t>Smalfotad taggsvamp (VU)</w:t>
      </w:r>
      <w:r>
        <w:t>, rödlistad som sårbar, växer på marken under lågor eller fallna stubbar i brandpräglad torr tallskog med lång kontinuitet. Arten är starkt associerad till kolad ved från tallar som sannolikt varit med om flera historiska skogsbränder. Detta är en process som kan ta många hundra år och det tar således mycket lång tid att återskapa lämpliga substrat. Smalfotad taggsvamp är placerad i toppen av Skogsstyrelsens värdepyramid för bedömning av skog med höga naturvärden samt globalt rödlistad som sårbar (VU) vilket innebär att Sverige har ett internationellt ansvar för arten (IUCN Redlist, 2024; Nitare &amp; Skogsstyrelsen, 2019; SLU Artdatabanken, 2024).</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Gammelgransskål (NT)</w:t>
      </w:r>
      <w:r>
        <w:t xml:space="preserve"> är en liten skålsvamp som växer på gamla granar med skrovlig bark. Typiska växtplatser är gransumpskog i myrkanter, bäckdråg, bäckraviner och skuggiga bergssluttningar, men också skog på torrare mark kan hysa arten om beståndet har stark naturskogskaraktär. Bestånd med arten bör behandlas som nyckelbiotoper och sparas vid en slutavverkning. Även gallring bör undvikas. Gammelgransskål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Lavskrika (NT, §4)</w:t>
      </w:r>
      <w:r>
        <w:t xml:space="preserve"> är rödlistad som nära hotad och fridlyst enligt 4§ artskyddsförordningen. Den har minskat med 20 (10–30) % under de senaste 15 åren och minskningstakten bedöms vara nära gränsvärdet för sårbar (VU). Lavskrikan är en mycket stationär fågel, som häckar i äldre, slutna och hänglavsrika barrskogar. Nyckelfaktorer är flerskiktad skog med rik undervegetation samt riklig förekomst av hänglavar. Reviren är livslånga med hemområden som varierar mellan 50 och 150 ha. Inom ett revir av hög kvalitet finns det som regel ett eller flera kärnområden (1–20 ha) med relativt tät flerskiktad granskog. Arten missgynnas när flerskiktad skog omförs till enskiktade bestånd och även röjning och hård gallring är starkt negativt. Lavskrikan har relativt stora hemområden och försvinner när den äldre skogen fragmenteras, särskilt allvarligt är när kärnområdena avverkas. Den försvinner successivt framför allt vid dess utbredningsgränser och populationen har minskat kontinuerligt under 2000-talet. Lavskrika är typisk art för </w:t>
      </w:r>
      <w:r>
        <w:rPr>
          <w:i/>
        </w:rPr>
        <w:t>9010 Taiga</w:t>
      </w:r>
      <w:r>
        <w:t xml:space="preserve"> (SLU Artdatabanken, 2026; Skogsstyrelsen 2016).</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 xml:space="preserve">Svartvit taggsvamp (NT) </w:t>
      </w:r>
      <w:r>
        <w:t>bildar mykorrhiza med tall, troligen även med gran. Den växer huvudsakligen i äldre, naturligt uppkommen skog på torr eller frisk mark och förekommer såväl på tallhedar som i mossig barrblandskog. Flera olika former har påträffats vid DNA-undersökningar av europeiskt material och det är oklart hur många former som finns i värd land. Kalavverkning av äldre skog är ett reellt hot, liksom maskinell markberedning och minskad andel självföryngring. Lokaler som fortfarande håller svampen behöver säkerställas (SLU Artdatabanken, 2024; Nitare &amp; Skogsstyrelsen, 2019).</w:t>
      </w:r>
    </w:p>
    <w:p>
      <w:r>
        <w:rPr>
          <w:b/>
        </w:rPr>
        <w:t>Talltagel (NT)</w:t>
      </w:r>
      <w:r>
        <w:t xml:space="preserve"> är en boreal art som förekommer på tall i äldre, öppna tallskogar. Den påverkas negativt av brist på kontinuitetsskog och minskningstakten bedöms vara nära gränsvärdet för Sårbar (VU). Talltagel är typisk art för </w:t>
      </w:r>
      <w:r>
        <w:rPr>
          <w:i/>
        </w:rPr>
        <w:t>9010 Taiga</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Vitplätt (NT)</w:t>
      </w:r>
      <w:r>
        <w:t xml:space="preserve"> är en nedbrytare av död, hård och torr tallved och orsakar brunröta. Den förekommer mest i äldre, naturskogsliknande tallskog eller blandskog med äldre tall. Arten hotas av avverkning av gammal, senvuxen tall. I södra Sverige råder brist på lämpliga habitat och arten kan inte längre sprida sig utanför sina få kända växtplatser. Lokaler med gammal tall bör undantas från skogsbruk, i synnerhet i södra Sverige (SLU Artdatabanken, 2024).</w:t>
      </w:r>
    </w:p>
    <w:p>
      <w:r>
        <w:rPr>
          <w:b/>
        </w:rPr>
        <w:t>Bronshjon</w:t>
      </w:r>
      <w:r>
        <w:t xml:space="preserve"> är en skalbagge vars larvutveckling sker under grov bark på stammar av döda eller döende barrträd, främst gran, i mindre omfattning tall. Arten är knuten till äldre, naturskogslik granskog med inslag av torkande träd. Bronshjon är typisk art för </w:t>
      </w:r>
      <w:r>
        <w:rPr>
          <w:i/>
        </w:rPr>
        <w:t>9010 Taiga</w:t>
      </w:r>
      <w:r>
        <w:t xml:space="preserve"> (SLU Artdatabanken, 2025).</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Nästlav</w:t>
      </w:r>
      <w:r>
        <w:t xml:space="preserve"> indikerar söder om den naturliga norrlandsgränsen äldre barrskogsområden med höga naturvärden där andra ovanliga nordliga barrskogsarter kan påträffas. Nästlav är typisk art för </w:t>
      </w:r>
      <w:r>
        <w:rPr>
          <w:i/>
        </w:rPr>
        <w:t xml:space="preserve">9010 Taiga </w:t>
      </w:r>
      <w:r>
        <w:t>(Nitare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Tjäder (§4)</w:t>
      </w:r>
      <w:r>
        <w:t xml:space="preserve">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fläckporing (VU, T), garnlav (VU, T), gräddporing (VU, T), lappticka (VU, T), blå taggsvamp (NT, T), dropptaggsvamp (NT, T), dvärgbägarlav (NT, T), gammelgransskål (NT, T), kolflarnlav (NT, T), lavskrika (NT, T, §4), rosenticka (NT, T), talltagel (NT, T), tretåig hackspett (NT, T, §4), ullticka (NT, T), vedskivlav (NT, T), bronshjon (S, T), luddlav (S, T), nästlav (S, T), stuplav (S, T), vedticka (S, T), spillkråka (T, §4) och tjäder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Lavskrika – ekologi samt krav på livsmiljön</w:t>
      </w:r>
    </w:p>
    <w:p>
      <w:r>
        <w:t>Lavskrika är rödlistad som nära hotad (NT), fridlyst enligt 4 § artskyddsförordningen (2007:845) och ingår i förteckningen över prioriterade arter i Skogsstyrelsens föreskrifter och allmänna råd (SKSFS 2011:7) bilaga 4. Lavskrikan är en mycket stationär fågel, som häckar i äldre, slutna och hänglavsrika barrskogar. Nyckelfaktorer är flerskiktad skog med rik undervegetation samt riklig förekomst av hänglavar (SLU Artdatabanken, 2026).</w:t>
      </w:r>
    </w:p>
    <w:p>
      <w:r>
        <w:t xml:space="preserve">I Skogsstyrelsens vägledning för hänsyn till fåglar står bland annat att: </w:t>
      </w:r>
      <w:r>
        <w:rPr>
          <w:i/>
        </w:rPr>
        <w:t>“Reviren är livslånga med hemområden som varierar mellan 50 och 150 ha. Hemområdena har inga fasta gränser utan det handlar mera om de yttre gränserna för familjegruppernas rörelser. Lavskrikan undviker att förflytta sig över stora öppna områden och hemområdesstorleken är därför större i områden fragmenterade av hyggen och yngre skog än i områden med i sammanhängande äldre skog. Det finns studier som antyder att det inom ett revir bör finnas maximalt 15 % öppna ytor och ungskog. Inom ett revir av hög kvalitet finns det som regel ett eller flera kärnområden (1–20 ha) med relativt tät flerskiktad granskog.”</w:t>
      </w:r>
      <w:r>
        <w:t xml:space="preserve"> Vidare att: </w:t>
      </w:r>
      <w:r>
        <w:rPr>
          <w:i/>
        </w:rPr>
        <w:t>“Arten missgynnas när flerskiktad skog omförs till enskiktade bestånd. Även skogsskötsel med återkommande röjning och hård gallring är starkt negativt. Lavskrikan har relativt stora hemområden och försvinner när den äldre skogen fragmenteras, särskilt allvarligt är när kärnområdena avverkas.”</w:t>
      </w:r>
      <w:r>
        <w:t xml:space="preserve"> (Skogsstyrelsen 2016).</w:t>
      </w:r>
    </w:p>
    <w:p>
      <w:r>
        <w:t xml:space="preserve">Populationen har minskat med 20 (10–30) % under de senaste 15 åren och minskningstakten bedöms vara nära gränsvärdet för sårbar (VU). Arten försvinner successivt framför allt vid dess utbredningsgränser och populationen har minskat kontinuerligt under 2000-talet. Lavskrika är typisk art för </w:t>
      </w:r>
      <w:r>
        <w:rPr>
          <w:i/>
        </w:rPr>
        <w:t>9010 Taiga</w:t>
      </w:r>
      <w:r>
        <w:t xml:space="preserve"> (SLU Artdatabanken, 2026).</w:t>
      </w:r>
    </w:p>
    <w:p>
      <w:pPr>
        <w:pStyle w:val="Heading2"/>
      </w:pPr>
      <w:r>
        <w:t>Referenser – lavskrika</w:t>
      </w:r>
    </w:p>
    <w:p>
      <w:r>
        <w:t xml:space="preserve">Skogsstyrelsen, 2016. </w:t>
      </w:r>
      <w:r>
        <w:rPr>
          <w:i/>
        </w:rPr>
        <w:t xml:space="preserve">Vägledning för hänsyn till fåglar – lavskrika. </w:t>
      </w:r>
      <w:r>
        <w:t>https://www.skogsstyrelsen.se/globalassets/lag-och-tillsyn/artskydd/vagledningar-for-hansyn-till-faglar/lavskrika-vagledning-hansyn.pdf</w:t>
      </w:r>
    </w:p>
    <w:p>
      <w:r>
        <w:t xml:space="preserve">SLU Artdatabanken, 2026. </w:t>
      </w:r>
      <w:r>
        <w:rPr>
          <w:i/>
        </w:rPr>
        <w:t xml:space="preserve">Artfaktablad. Naturvård – artfakta. </w:t>
      </w:r>
      <w:r>
        <w:t>SLU Artdatabanken, Uppsala</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pPr>
        <w:pStyle w:val="Heading1"/>
      </w:pPr>
      <w:r>
        <w:t>Tjäder – ekologi samt krav på livsmiljön</w:t>
      </w:r>
    </w:p>
    <w:p>
      <w:r>
        <w:t xml:space="preserve">Tjäder (§4) omfattas av bilaga 1 och 2 EU:s fågeldirektiv och är typisk art för </w:t>
      </w:r>
      <w:r>
        <w:rPr>
          <w:i/>
        </w:rPr>
        <w:t xml:space="preserve">9010 Taiga </w:t>
      </w:r>
      <w:r>
        <w:t xml:space="preserve">och </w:t>
      </w:r>
      <w:r>
        <w:rPr>
          <w:i/>
        </w:rPr>
        <w:t>9740 Skogsbevuxen myr</w:t>
      </w:r>
      <w:r>
        <w:t>. Tjädern är en utpräglad skogsfågel knuten till större sammanhängande barrskogsområden. Tupparna och hönorna utnyttjar till viss del olika miljöer, och habitatvalet varierar dessutom mellan olika delar av året. För att det ska finnas livskraftiga tjäderbestånd krävs funktionella skogslandskap med en blandning av uppvuxen, gles och luckig skog, täta sumpskogar, myrar och andra små våtmarker (Skogsstyrelsen, 2019; SLU Artdatabanken 2024).</w:t>
      </w:r>
    </w:p>
    <w:p>
      <w:r>
        <w:t>Arten försvinner när skogen fragmenteras och den sammanlagda arealen hyggen och andra öppna områden blir för stor. Ett småskaligt och försiktigt virkesuttag genom hyggesfria metoder kan i vissa fall vara möjligt i området inom 200 m från lekcentrum. Längre ut från lekcentrum, inom 200–500 m bör den avverkade ytan inte överskrida 1 hektar för att undvika alltför stora och snabba förändringar (Skogsstyrelsen, 2019).</w:t>
      </w:r>
    </w:p>
    <w:p>
      <w:pPr>
        <w:pStyle w:val="Heading2"/>
      </w:pPr>
      <w:r>
        <w:t>Referenser – tjäder</w:t>
      </w:r>
    </w:p>
    <w:p>
      <w:r>
        <w:t xml:space="preserve">Skogsstyrelsen, 2019. </w:t>
      </w:r>
      <w:r>
        <w:rPr>
          <w:i/>
        </w:rPr>
        <w:t>Vägledning för hänsyn till fåglar – tjäder.</w:t>
      </w:r>
    </w:p>
    <w:p>
      <w:r>
        <w:t xml:space="preserve">SLU Artdatabanken, 2024.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