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15152-2025 i Gällivare kommun</w:t>
      </w:r>
    </w:p>
    <w:p>
      <w:r>
        <w:t>Detta dokument behandlar höga naturvärden i avverkningsanmälan A 15152-2025 i Gällivare kommun. Denna avverkningsanmälan inkom 2025-03-28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tallmusseron (VU), blå taggsvamp (NT), skrovlig taggsvamp (NT) och talltaggsvamp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093"/>
            <wp:docPr id="1" name="Picture 1"/>
            <wp:cNvGraphicFramePr>
              <a:graphicFrameLocks noChangeAspect="1"/>
            </wp:cNvGraphicFramePr>
            <a:graphic>
              <a:graphicData uri="http://schemas.openxmlformats.org/drawingml/2006/picture">
                <pic:pic>
                  <pic:nvPicPr>
                    <pic:cNvPr id="0" name="A 15152-2025 karta.png"/>
                    <pic:cNvPicPr/>
                  </pic:nvPicPr>
                  <pic:blipFill>
                    <a:blip r:embed="rId16"/>
                    <a:stretch>
                      <a:fillRect/>
                    </a:stretch>
                  </pic:blipFill>
                  <pic:spPr>
                    <a:xfrm>
                      <a:off x="0" y="0"/>
                      <a:ext cx="5486400" cy="3306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7458439, E 756751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Tallmusseron (VU)</w:t>
      </w:r>
      <w:r>
        <w:t xml:space="preserve"> bildar mykorrhiza med tall och kräver troligen lång trädkontinuitet. De flesta fynd är gjorda i sandtallskogar. Slutavverkning, kraftig gallring eller andra skogsbruksåtgärder på sandiga tallhedar, som medför att trädkontinuiteten bryts, utgör största hotet. Tallmusseron är placerad högst upp i Skogsstyrelsens värdepyramid för bedömning av skog med höga naturvärden och globalt rödlistad som nära hotad (NT) vilket innebär att Sverige har ett internationellt ansvar för arten. Kända lokaler bör undantas från storskaligt skogsbruk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