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23357-2024 i Gällivare kommun</w:t>
      </w:r>
    </w:p>
    <w:p>
      <w:r>
        <w:t>Detta dokument behandlar höga naturvärden i avverkningsanmälan A 23357-2024 i Gällivare kommun. Denna avverkningsanmälan inkom 2024-06-10 00:00:00 och omfattar 16,5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13 naturvårdsarter hittats: knärot (VU, §8), tallgråticka (VU), dvärgbägarlav (NT), garnlav (NT), lunglav (NT), mörk kolflarnlav (NT), vedskivlav (NT), vedtrappmossa (NT), dropptaggsvamp (S), källpraktmossa (S), plattlummer (S, §9), skinnlav (S)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36904"/>
            <wp:docPr id="1" name="Picture 1"/>
            <wp:cNvGraphicFramePr>
              <a:graphicFrameLocks noChangeAspect="1"/>
            </wp:cNvGraphicFramePr>
            <a:graphic>
              <a:graphicData uri="http://schemas.openxmlformats.org/drawingml/2006/picture">
                <pic:pic>
                  <pic:nvPicPr>
                    <pic:cNvPr id="0" name="A 23357-2024 karta.png"/>
                    <pic:cNvPicPr/>
                  </pic:nvPicPr>
                  <pic:blipFill>
                    <a:blip r:embed="rId16"/>
                    <a:stretch>
                      <a:fillRect/>
                    </a:stretch>
                  </pic:blipFill>
                  <pic:spPr>
                    <a:xfrm>
                      <a:off x="0" y="0"/>
                      <a:ext cx="5486400" cy="423690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7429430, E 800688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Tallgråticka (VU)</w:t>
      </w:r>
      <w:r>
        <w:t xml:space="preserve"> bildar mykorrhiza med tall och växer främst i ljusöppna skogar på torr, sandig/grusig mark. Den är placerad högst upp i Skogsstyrelsens värdepyramid för bedömning av skog med höga naturvärden och indikerar skyddsvärda tallnaturskogar på sand där det funnits ett ständigt inslag av äldre träd. Tallgråticka är globalt rödlistad som nära hotad (NT) vilket innebär att Sverige har ett internationellt ansvar för arten (SLU Artdatabanken, 2024; Nitare &amp; Skogsstyrelsen, 2019; IUCN, 2020).</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plattlummer (S, §9) och fläcknycklar (§8).</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42 fyndplatser för knärot registrerade på Artportalen. Figur 2 visar gränserna för buffertzoner på 50 m, som behöver lämnas kring fyndplatserna för att knärotslokalerna inte ska försvinna vid en avverkning. Av det avverkningsanmälda området överlappar 10.47 ha med buffertzonerna och får av detta skäl inte avverkas.</w:t>
      </w:r>
    </w:p>
    <w:p>
      <w:pPr>
        <w:pStyle w:val="Caption"/>
      </w:pPr>
      <w:r>
        <w:drawing>
          <wp:inline xmlns:a="http://schemas.openxmlformats.org/drawingml/2006/main" xmlns:pic="http://schemas.openxmlformats.org/drawingml/2006/picture">
            <wp:extent cx="5486400" cy="4962409"/>
            <wp:docPr id="2" name="Picture 2"/>
            <wp:cNvGraphicFramePr>
              <a:graphicFrameLocks noChangeAspect="1"/>
            </wp:cNvGraphicFramePr>
            <a:graphic>
              <a:graphicData uri="http://schemas.openxmlformats.org/drawingml/2006/picture">
                <pic:pic>
                  <pic:nvPicPr>
                    <pic:cNvPr id="0" name="A 23357-2024 karta knärot.png"/>
                    <pic:cNvPicPr/>
                  </pic:nvPicPr>
                  <pic:blipFill>
                    <a:blip r:embed="rId17"/>
                    <a:stretch>
                      <a:fillRect/>
                    </a:stretch>
                  </pic:blipFill>
                  <pic:spPr>
                    <a:xfrm>
                      <a:off x="0" y="0"/>
                      <a:ext cx="5486400" cy="49624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7429430, E 800688 i SWEREF 99 TM.</w:t>
      </w:r>
    </w:p>
    <w:p>
      <w:pPr>
        <w:pStyle w:val="Caption"/>
      </w:pP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