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15155-2025 i Gällivare kommun</w:t>
      </w:r>
    </w:p>
    <w:p>
      <w:r>
        <w:t>Denna tillsynsbegäran behandlar höga naturvärden i avverkningsanmälan A 15155-2025 i Gällivare kommun som inkom 2025-03-28 och omfattar 1,9 ha.</w:t>
      </w:r>
    </w:p>
    <w:p>
      <w:pPr>
        <w:pStyle w:val="Caption"/>
      </w:pPr>
      <w:r>
        <w:drawing>
          <wp:inline xmlns:a="http://schemas.openxmlformats.org/drawingml/2006/main" xmlns:pic="http://schemas.openxmlformats.org/drawingml/2006/picture">
            <wp:extent cx="5486400" cy="4521095"/>
            <wp:docPr id="1" name="Picture 1"/>
            <wp:cNvGraphicFramePr>
              <a:graphicFrameLocks noChangeAspect="1"/>
            </wp:cNvGraphicFramePr>
            <a:graphic>
              <a:graphicData uri="http://schemas.openxmlformats.org/drawingml/2006/picture">
                <pic:pic>
                  <pic:nvPicPr>
                    <pic:cNvPr id="0" name="A 15155-2025 karta.png"/>
                    <pic:cNvPicPr/>
                  </pic:nvPicPr>
                  <pic:blipFill>
                    <a:blip r:embed="rId16"/>
                    <a:stretch>
                      <a:fillRect/>
                    </a:stretch>
                  </pic:blipFill>
                  <pic:spPr>
                    <a:xfrm>
                      <a:off x="0" y="0"/>
                      <a:ext cx="5486400" cy="452109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7458528, E 756712 i SWEREF 99 TM.</w:t>
      </w:r>
    </w:p>
    <w:p>
      <w:r>
        <w:t>I och inom 25 meter från avverkningsanmälan finns fynd av 10 naturvårdsarter, varav 10 är rödlistade, 1 är fridlyst och 1 är typisk (T): mospindling (VU), skrovlig taggsvamp (VU), tallgråticka (VU), tallmusseron (VU), blå taggsvamp (NT, T), skarp dropptaggsvamp (NT), talltaggsvamp (NT), talltita (NT, §4), vaddporing (NT) och vaxspindling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Mospindling (VU)</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(NT) vilket innebär att Sverige har ett internationellt ansvar för arten (IUCN, 2025;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