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39968-2025 i Gällivare kommun</w:t>
      </w:r>
    </w:p>
    <w:p>
      <w:r>
        <w:t>Denna tillsynsbegäran behandlar höga naturvärden i avverkningsanmälan A 39968-2025 i Gällivare kommun som inkom 2025-08-23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7456625, E 748801 i SWEREF 99 TM.</w:t>
      </w:r>
    </w:p>
    <w:p>
      <w:r>
        <w:t>I avverkningsanmälan finns fynd av 1 naturvårdsarter, varav 1 är rödlistad och 1 är typisk (T): violmussling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Violmussling (NT)</w:t>
      </w:r>
      <w:r>
        <w:t xml:space="preserve"> växer på döda, oftast omkullfallna stammar av gran eller tall. De flesta fynden har gjorts i gammal, orörd skog och arten är en mycket god indikator på förekomst av lång skoglig kontinuitet. Platser som hyser stora bestånd av violmussling bör i första hand skyddas och undantas från skogsbruk. Flera sällsynta och mycket sällsynta tickor och skalbaggar är mer eller mindre starkt associerade med violtickor </w:t>
      </w:r>
      <w:r>
        <w:rPr>
          <w:i/>
        </w:rPr>
        <w:t>Trichaptum spp.</w:t>
      </w:r>
      <w:r>
        <w:t xml:space="preserve"> och död ved som först rötats av någon </w:t>
      </w:r>
      <w:r>
        <w:rPr>
          <w:i/>
        </w:rPr>
        <w:t>Trichaptum-art</w:t>
      </w:r>
      <w:r>
        <w:t>. Bland dessa kan nämnas gul mjukporing (CR), lämmelporing (CR), kilporing (VU), parasitporing (VU), gropig brunbagge (NT), gulbandad brunbagge</w:t>
      </w:r>
      <w:r>
        <w:rPr>
          <w:i/>
        </w:rPr>
        <w:t xml:space="preserve"> </w:t>
      </w:r>
      <w:r>
        <w:t>(NT) och brunkantad brunbagge</w:t>
      </w:r>
      <w:r>
        <w:rPr>
          <w:i/>
        </w:rPr>
        <w:t xml:space="preserve"> </w:t>
      </w:r>
      <w:r>
        <w:t xml:space="preserve">(DD). Violmussling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