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36982-2023 i Gällivare kommun</w:t>
      </w:r>
    </w:p>
    <w:p>
      <w:r>
        <w:t>Detta dokument behandlar höga naturvärden i avverkningsanmälan A 36982-2023 i Gällivare kommun. Denna avverkningsanmälan inkom 2023-08-16 00:00:00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fläckporing (VU), lateritticka (VU), smalfotad taggsvamp (VU), tajgataggsvamp (VU), tallgråticka (VU), järpe (NT, §4), mjölsvärting (NT), gullgröppa (S) och skarp dropptaggsvamp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7180"/>
            <wp:docPr id="1" name="Picture 1"/>
            <wp:cNvGraphicFramePr>
              <a:graphicFrameLocks noChangeAspect="1"/>
            </wp:cNvGraphicFramePr>
            <a:graphic>
              <a:graphicData uri="http://schemas.openxmlformats.org/drawingml/2006/picture">
                <pic:pic>
                  <pic:nvPicPr>
                    <pic:cNvPr id="0" name="A 36982-2023 karta.png"/>
                    <pic:cNvPicPr/>
                  </pic:nvPicPr>
                  <pic:blipFill>
                    <a:blip r:embed="rId16"/>
                    <a:stretch>
                      <a:fillRect/>
                    </a:stretch>
                  </pic:blipFill>
                  <pic:spPr>
                    <a:xfrm>
                      <a:off x="0" y="0"/>
                      <a:ext cx="5486400" cy="5077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7424314, E 751702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Lateritticka (VU)</w:t>
      </w:r>
      <w:r>
        <w:t xml:space="preserve"> är en sällsynt art knuten till gamla urskogsartade tallnaturskogar med kontinentalt klimat och lång kontinuitet av grova lågor och gamla silverfuror. Den växer främst på liggande stammar som härrör från tallar som under många år stått avbarkade och döda innan de fallit (SLU Artdatabanken, 2024; Nitare &amp; Skogsstyrelsen, 2019).</w:t>
      </w:r>
    </w:p>
    <w:p>
      <w:r>
        <w:rPr>
          <w:b/>
        </w:rPr>
        <w:t>Mjölsvärting (NT)</w:t>
      </w:r>
      <w:r>
        <w:t xml:space="preserve"> växer i luckig barrskog, huvudsakligen på tallhed och i äldre skog. Mager, äldre tallskog och barrblandskog med lång trädkontinuitet bör undantas från trakthyggesbruk. Mjölsvärtingens lokaler är ofta nyckelbiotoper och bör då sparas i sin helhet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