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27011-2026 i Gällivare kommun</w:t>
      </w:r>
    </w:p>
    <w:p>
      <w:r>
        <w:t>Detta dokument behandlar höga naturvärden i avverkningsanmälan A 27011-2026 i Gällivare kommun. Denna avverkningsanmälan inkom 2026-06-12 15:29:46 och omfattar 9,6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dropptaggsvamp (S), plattlummer (S, §9) och skarp dropptaggsvamp (S).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20743"/>
            <wp:docPr id="1" name="Picture 1"/>
            <wp:cNvGraphicFramePr>
              <a:graphicFrameLocks noChangeAspect="1"/>
            </wp:cNvGraphicFramePr>
            <a:graphic>
              <a:graphicData uri="http://schemas.openxmlformats.org/drawingml/2006/picture">
                <pic:pic>
                  <pic:nvPicPr>
                    <pic:cNvPr id="0" name="A 27011-2026 karta.png"/>
                    <pic:cNvPicPr/>
                  </pic:nvPicPr>
                  <pic:blipFill>
                    <a:blip r:embed="rId16"/>
                    <a:stretch>
                      <a:fillRect/>
                    </a:stretch>
                  </pic:blipFill>
                  <pic:spPr>
                    <a:xfrm>
                      <a:off x="0" y="0"/>
                      <a:ext cx="5486400" cy="48207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7413526, E 759981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pPr>
        <w:pStyle w:val="Heading1"/>
      </w:pPr>
      <w:r>
        <w:t>Fridlysta arter</w:t>
      </w:r>
    </w:p>
    <w:p>
      <w:r>
        <w:t>Följande fridlysta arter har sina livsmiljöer och växtplatser i den avverkningsanmälda skogen: plattlummer (S, §9).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(VU, §8) och mellanlummer (VU, §9), vilka båda omfattas av EU:s art- och habitatdirektiv. Plattlummer är typisk art för </w:t>
      </w:r>
      <w:r>
        <w:rPr>
          <w:i/>
        </w:rPr>
        <w:t xml:space="preserve">9010 Taiga </w:t>
      </w:r>
      <w:r>
        <w:t>och</w:t>
      </w:r>
      <w:r>
        <w:rPr>
          <w:i/>
        </w:rPr>
        <w:t xml:space="preserve"> 2320 Rissandhedar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