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som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22 naturvårdsarter hittats: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2"/>
      </w:pPr>
      <w:r>
        <w:t>Fridlysta arter</w:t>
      </w:r>
    </w:p>
    <w:p>
      <w:r>
        <w:t>Följande fridlysta arter har sina livsmiljöer och växtplatser i den avverkningsanmälda skogen: grönfink (VU, §4), knärot (VU, T, §8), tornseglare (VU, §4), björktrast (NT, §4), blåhake (NT, §4), gulsparv (NT, §4), järnsparv (NT, §4), rödvingetrast (NT, §4), sädesärla (NT, §4), korallrot (S, T, §8), spindelblomster (S, T, §8), järpe (T, §4), grönsiska (§4), kungsfågel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