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31333-2025 i Gällivare kommun</w:t>
      </w:r>
    </w:p>
    <w:p>
      <w:r>
        <w:t>Detta klagomål behandlar höga naturvärden i avverkningsanmälan A 31333-2025 i Gällivare kommun som inkom 2025-06-24 och omfattar 18,2 ha.</w:t>
      </w:r>
    </w:p>
    <w:p>
      <w:pPr>
        <w:pStyle w:val="Caption"/>
      </w:pPr>
      <w:r>
        <w:drawing>
          <wp:inline xmlns:a="http://schemas.openxmlformats.org/drawingml/2006/main" xmlns:pic="http://schemas.openxmlformats.org/drawingml/2006/picture">
            <wp:extent cx="4821082" cy="5724000"/>
            <wp:docPr id="1" name="Picture 1"/>
            <wp:cNvGraphicFramePr>
              <a:graphicFrameLocks noChangeAspect="1"/>
            </wp:cNvGraphicFramePr>
            <a:graphic>
              <a:graphicData uri="http://schemas.openxmlformats.org/drawingml/2006/picture">
                <pic:pic>
                  <pic:nvPicPr>
                    <pic:cNvPr id="0" name="A 31333-2025 karta.png"/>
                    <pic:cNvPicPr/>
                  </pic:nvPicPr>
                  <pic:blipFill>
                    <a:blip r:embed="rId16"/>
                    <a:stretch>
                      <a:fillRect/>
                    </a:stretch>
                  </pic:blipFill>
                  <pic:spPr>
                    <a:xfrm>
                      <a:off x="0" y="0"/>
                      <a:ext cx="4821082"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7391171, E 811834 i SWEREF 99 TM.</w:t>
      </w:r>
    </w:p>
    <w:p>
      <w:r>
        <w:t>I och inom 22 meter från avverkningsanmälan finns fynd av 34 naturvårdsarter, varav 25 är rödlistade, 7 är fridlysta, 22 är typiska (T) och 5 är signalarter (S): fläckporing (VU, T), garnlav (VU, T), gräddporing (VU, T), lappticka (VU, T), smalfotad taggsvamp (VU), blanksvart spiklav (NT), blå taggsvamp (NT, T), dropptaggsvamp (NT, T), dvärgbägarlav (NT, T), gammelgransskål (NT, T), kolflarnlav (NT, T), kortskaftad ärgspik (NT), lavskrika (NT, T, §4), mörk kolflarnlav (NT), nordtagging (NT), rosenticka (NT, T), svartvit taggsvamp (NT), talltagel (NT, T), talltita (NT, §4), tretåig hackspett (NT, T, §4), ullticka (NT, T), vaddporing (NT), vedflamlav (NT), vedskivlav (NT, T), vitplätt (NT), bronshjon (S, T), luddlav (S, T), nästlav (S, T), stuplav (S, T), vedticka (S, T), spillkråka (T, §4), tjäder (T, §4), kungsfågel (§4) och vanlig groda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30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34 naturvårdsarter varav 25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