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37043-2026 i Gällivare kommun</w:t>
      </w:r>
    </w:p>
    <w:p>
      <w:r>
        <w:t>Detta klagomål behandlar höga naturvärden i avverkningsanmälan A 37043-2026 i Gällivare kommun som inkom 2026-09-08 och omfattar 20,9 ha.</w:t>
      </w:r>
    </w:p>
    <w:p>
      <w:pPr>
        <w:pStyle w:val="Caption"/>
      </w:pPr>
      <w:r>
        <w:drawing>
          <wp:inline xmlns:a="http://schemas.openxmlformats.org/drawingml/2006/main" xmlns:pic="http://schemas.openxmlformats.org/drawingml/2006/picture">
            <wp:extent cx="4583134" cy="5724000"/>
            <wp:docPr id="1" name="Picture 1"/>
            <wp:cNvGraphicFramePr>
              <a:graphicFrameLocks noChangeAspect="1"/>
            </wp:cNvGraphicFramePr>
            <a:graphic>
              <a:graphicData uri="http://schemas.openxmlformats.org/drawingml/2006/picture">
                <pic:pic>
                  <pic:nvPicPr>
                    <pic:cNvPr id="0" name="A 37043-2026 karta.png"/>
                    <pic:cNvPicPr/>
                  </pic:nvPicPr>
                  <pic:blipFill>
                    <a:blip r:embed="rId16"/>
                    <a:stretch>
                      <a:fillRect/>
                    </a:stretch>
                  </pic:blipFill>
                  <pic:spPr>
                    <a:xfrm>
                      <a:off x="0" y="0"/>
                      <a:ext cx="4583134" cy="5724000"/>
                    </a:xfrm>
                    <a:prstGeom prst="rect"/>
                  </pic:spPr>
                </pic:pic>
              </a:graphicData>
            </a:graphic>
          </wp:inline>
        </w:drawing>
      </w:r>
    </w:p>
    <w:p>
      <w:pPr>
        <w:pStyle w:val="Caption"/>
        <w:spacing w:after="240"/>
      </w:pPr>
      <w:r>
        <w:t>Figur 1. Fyndplatser för naturvårdsarter i och inom 20 meter från avverkningsanmälan. Markörer utan svart kant är placerade på fyndplatsen. Markörer med svart kant är placerade vid sidan av fyndplatsen och har ett svart streck som visar fyndplatsens exakta position. Kartans mittpunktskoordinat är N 7411434, E 773181 i SWEREF 99 TM.</w:t>
      </w:r>
    </w:p>
    <w:p>
      <w:r>
        <w:t>I och inom 20 meter från avverkningsanmälan finns fynd av 14 naturvårdsarter, varav 14 är rödlistade, 2 är fridlysta och 5 är typiska (T): garnlav (VU, T), smalfotad taggsvamp (VU), spadskinn (VU), tajgataggsvamp (VU), torrmusseron (VU), blanksvart spiklav (NT), blå taggsvamp (NT, T), dropptaggsvamp (NT, T), lavskrika (NT, T, §4), nordtagging (NT), svartvit taggsvamp (NT), tretåig hackspett (NT, T, §4), vaddporing (NT) och vedflamlav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Spadskinn (VU)</w:t>
      </w:r>
      <w:r>
        <w:t xml:space="preserve"> är knuten till tallskogar med höga naturvärden och artens potentiella miljöer har minskat kraftigt och fortsätter att minska eftersom äldre sandtallskogar avverkas. Mykorrhiza-arter och andra marklevande svampar påverkas starkt negativt av slutavverkning då alla träd avlägsnas. Spadskinn är globalt rödlistad som sårbar (VU) vilket innebär att Sverige har ett internationellt ansvar för arten. Fler områden där arten förekommer behöver skyddas (SLU Artdatabanken, 2024; Nitare &amp; Skogsstyrelsen, 2019; IUCN, 2019).</w:t>
      </w:r>
    </w:p>
    <w:p>
      <w:r>
        <w:rPr>
          <w:b/>
        </w:rPr>
        <w:t xml:space="preserve">Tajgataggsvamp (VU) </w:t>
      </w:r>
      <w:r>
        <w:t xml:space="preserve">är en sällsynt art som bildar mykorrhiza med tall och växer på marken under gamla tallågor, stubbar och även grenar av tall i brandpräglad torr tallskog på mager sandig mark med lång kontinuitet. Den är placerad högst upp i Skogsstyrelsens värdepyramid för bedömning av skog med höga naturvärden och flertalet växtplatser bör skyddas långsiktigt genom att öka arealen skyddad, brandpräglad, mager tallskog med trädkontinuitet. Troligtvis sammanblandas arten då och då med svartvit taggsvamp </w:t>
      </w:r>
      <w:r>
        <w:rPr>
          <w:i/>
        </w:rPr>
        <w:t>Phellodon connatus</w:t>
      </w:r>
      <w:r>
        <w:t xml:space="preserve"> som vid DNA-undersökningar visat sig ha flera olika former. Tajgataggsvamp är globalt rödlistad som sårbar (VU) vilket innebär att Sverige har ett internationellt ansvar för arten (IUCN, 2025; SLU Artdatabanken, 2024; Nitare &amp; Skogsstyrelsen, 2019).</w:t>
      </w:r>
    </w:p>
    <w:p>
      <w:r>
        <w:rPr>
          <w:b/>
        </w:rPr>
        <w:t xml:space="preserve">Torrmusseron (VU) </w:t>
      </w:r>
      <w:r>
        <w:t>bildar mykorrhiza med tall, huvudsakligen på sandig mark på magra äldre tallhedar med tunt fältskikt. Bara påträffad i äldre skog med naturskogskaraktär eller skogar som plock- eller dimensionsavverkats. Bedöms ha svårt att återetableras efter kalavverkning och slutavverkning, markberedning och gödsling bör ej förekomma på kända lokaler (SLU Artdatabanken, 2024).</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 xml:space="preserve">Blå taggsvamp (NT) </w:t>
      </w:r>
      <w:r>
        <w:t xml:space="preserve">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Blå taggsvamp (NT) är typisk art för </w:t>
      </w:r>
      <w:r>
        <w:rPr>
          <w:i/>
        </w:rPr>
        <w:t>9010 Taiga</w:t>
      </w:r>
      <w:r>
        <w:t xml:space="preserve"> (SLU Artdatabanken, 2024; Nitare &amp; Skogsstyrelsen, 2019).</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Lavskrika (NT, §4)</w:t>
      </w:r>
      <w:r>
        <w:t xml:space="preserve"> är rödlistad som nära hotad och fridlyst enligt 4§ artskyddsförordningen. Den har minskat med 20 (10–30) % under de senaste 15 åren och minskningstakten bedöms vara nära gränsvärdet för sårbar (VU). Lavskrikan är en mycket stationär fågel, som häckar i äldre, slutna och hänglavsrika barrskogar. Nyckelfaktorer är flerskiktad skog med rik undervegetation samt riklig förekomst av hänglavar. Reviren är livslånga med hemområden som varierar mellan 50 och 150 ha. Inom ett revir av hög kvalitet finns det som regel ett eller flera kärnområden (1–20 ha) med relativt tät flerskiktad granskog. Arten missgynnas när flerskiktad skog omförs till enskiktade bestånd och även röjning och hård gallring är starkt negativt. Lavskrikan har relativt stora hemområden och försvinner när den äldre skogen fragmenteras, särskilt allvarligt är när kärnområdena avverkas. Den försvinner successivt framför allt vid dess utbredningsgränser och populationen har minskat kontinuerligt under 2000-talet. Lavskrika är typisk art för </w:t>
      </w:r>
      <w:r>
        <w:rPr>
          <w:i/>
        </w:rPr>
        <w:t>9010 Taiga</w:t>
      </w:r>
      <w:r>
        <w:t xml:space="preserve"> (SLU Artdatabanken, 2026; Skogsstyrelsen 2016).</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 xml:space="preserve">Svartvit taggsvamp (NT) </w:t>
      </w:r>
      <w:r>
        <w:t>bildar mykorrhiza med tall, troligen även med gran. Den växer huvudsakligen i äldre, naturligt uppkommen skog på torr eller frisk mark och förekommer såväl på tallhedar som i mossig barrblandskog. Flera olika former har påträffats vid DNA-undersökningar av europeiskt material och det är oklart hur många former som finns i värd land. Kalavverkning av äldre skog är ett reellt hot, liksom maskinell markberedning och minskad andel självföryngring. Lokaler som fortfarande håller svampen behöver säkerställas (SLU Artdatabanken, 2024;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På vedflamlavens bål kan den sällsynta spiklaven/parasiten </w:t>
      </w:r>
      <w:r>
        <w:rPr>
          <w:i/>
        </w:rPr>
        <w:t>Calicium ramboldiicola</w:t>
      </w:r>
      <w:r>
        <w:t xml:space="preserve"> (VU) påträffas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14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Lavskrika – ekologi samt krav på livsmiljön</w:t>
      </w:r>
    </w:p>
    <w:p>
      <w:r>
        <w:t>Lavskrika är rödlistad som nära hotad (NT), fridlyst enligt 4 § artskyddsförordningen (2007:845) och ingår i förteckningen över prioriterade arter i Skogsstyrelsens föreskrifter och allmänna råd (SKSFS 2011:7) bilaga 4. Lavskrikan är en mycket stationär fågel, som häckar i äldre, slutna och hänglavsrika barrskogar. Nyckelfaktorer är flerskiktad skog med rik undervegetation samt riklig förekomst av hänglavar (SLU Artdatabanken, 2026).</w:t>
      </w:r>
    </w:p>
    <w:p>
      <w:r>
        <w:t xml:space="preserve">I Skogsstyrelsens vägledning för hänsyn till fåglar står bland annat att: </w:t>
      </w:r>
      <w:r>
        <w:rPr>
          <w:i/>
        </w:rPr>
        <w:t>“Reviren är livslånga med hemområden som varierar mellan 50 och 150 ha. Hemområdena har inga fasta gränser utan det handlar mera om de yttre gränserna för familjegruppernas rörelser. Lavskrikan undviker att förflytta sig över stora öppna områden och hemområdesstorleken är därför större i områden fragmenterade av hyggen och yngre skog än i områden med i sammanhängande äldre skog. Det finns studier som antyder att det inom ett revir bör finnas maximalt 15 % öppna ytor och ungskog. Inom ett revir av hög kvalitet finns det som regel ett eller flera kärnområden (1–20 ha) med relativt tät flerskiktad granskog.”</w:t>
      </w:r>
      <w:r>
        <w:t xml:space="preserve"> Vidare att: </w:t>
      </w:r>
      <w:r>
        <w:rPr>
          <w:i/>
        </w:rPr>
        <w:t>“Arten missgynnas när flerskiktad skog omförs till enskiktade bestånd. Även skogsskötsel med återkommande röjning och hård gallring är starkt negativt. Lavskrikan har relativt stora hemområden och försvinner när den äldre skogen fragmenteras, särskilt allvarligt är när kärnområdena avverkas.”</w:t>
      </w:r>
      <w:r>
        <w:t xml:space="preserve"> (Skogsstyrelsen 2016).</w:t>
      </w:r>
    </w:p>
    <w:p>
      <w:r>
        <w:t xml:space="preserve">Populationen har minskat med 20 (10–30) % under de senaste 15 åren och minskningstakten bedöms vara nära gränsvärdet för sårbar (VU). Arten försvinner successivt framför allt vid dess utbredningsgränser och populationen har minskat kontinuerligt under 2000-talet. Lavskrika är typisk art för </w:t>
      </w:r>
      <w:r>
        <w:rPr>
          <w:i/>
        </w:rPr>
        <w:t>9010 Taiga</w:t>
      </w:r>
      <w:r>
        <w:t xml:space="preserve"> (SLU Artdatabanken, 2026).</w:t>
      </w:r>
    </w:p>
    <w:p>
      <w:pPr>
        <w:pStyle w:val="Heading2"/>
      </w:pPr>
      <w:r>
        <w:t>Referenser – lavskrika</w:t>
      </w:r>
    </w:p>
    <w:p>
      <w:r>
        <w:t xml:space="preserve">Skogsstyrelsen, 2016. </w:t>
      </w:r>
      <w:r>
        <w:rPr>
          <w:i/>
        </w:rPr>
        <w:t xml:space="preserve">Vägledning för hänsyn till fåglar – lavskrika. </w:t>
      </w:r>
      <w:r>
        <w:t>https://www.skogsstyrelsen.se/globalassets/lag-och-tillsyn/artskydd/vagledningar-for-hansyn-till-faglar/lavskrika-vagledning-hansyn.pdf</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2026-10-27</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