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22218-2020 i Gällivare kommun</w:t>
      </w:r>
    </w:p>
    <w:p>
      <w:r>
        <w:t>Detta dokument behandlar höga naturvärden i avverkningsanmälan A 22218-2020 i Gällivare kommun. Denna avverkningsanmälan inkom 2020-05-11 och omfattar 34,6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24 naturvårdsarter hittats: grönfink (EN, §4), knärot (VU, §8), drillsnäppa (NT, §4), gammelgransskål (NT), garnlav (NT), granticka (NT), knottrig blåslav (NT), rosenticka (NT), rödvingetrast (NT, §4), sävsparv (NT, §4), tallticka (NT), ullticka (NT), violmussling (NT), blodticka (S), bollvitmossa (S), lappranunkel (S, §7), plattlummer (S, §9), skör kvastmossa (S), späd brosklav (S), vedticka (S), grönsiska (§4), lavskrika (§4), orre (§4) och revlummer (§9). Av dessa är 13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20510"/>
            <wp:docPr id="1" name="Picture 1"/>
            <wp:cNvGraphicFramePr>
              <a:graphicFrameLocks noChangeAspect="1"/>
            </wp:cNvGraphicFramePr>
            <a:graphic>
              <a:graphicData uri="http://schemas.openxmlformats.org/drawingml/2006/picture">
                <pic:pic>
                  <pic:nvPicPr>
                    <pic:cNvPr id="0" name="A 22218-2020 karta.png"/>
                    <pic:cNvPicPr/>
                  </pic:nvPicPr>
                  <pic:blipFill>
                    <a:blip r:embed="rId16"/>
                    <a:stretch>
                      <a:fillRect/>
                    </a:stretch>
                  </pic:blipFill>
                  <pic:spPr>
                    <a:xfrm>
                      <a:off x="0" y="0"/>
                      <a:ext cx="5486400" cy="57205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7453428, E 759511 i SWEREF 99 TM.</w:t>
      </w:r>
    </w:p>
    <w:p>
      <w:pPr>
        <w:pStyle w:val="Heading1"/>
      </w:pPr>
      <w:r>
        <w:t>Fridlysta arter</w:t>
      </w:r>
    </w:p>
    <w:p>
      <w:r>
        <w:t>Följande fridlysta arter har sina livsmiljöer och växtplatser i den avverkningsanmälda skogen: grönfink (EN, §4), knärot (VU, §8), drillsnäppa (NT, §4), rödvingetrast (NT, §4), sävsparv (NT, §4), lappranunkel (S, §7), plattlummer (S, §9), grönsiska (§4), lavskrika (§4), orre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1.52 ha med buffertzonerna och får av detta skäl inte avverkas.</w:t>
      </w:r>
    </w:p>
    <w:p>
      <w:pPr>
        <w:pStyle w:val="Caption"/>
      </w:pPr>
      <w:r>
        <w:drawing>
          <wp:inline xmlns:a="http://schemas.openxmlformats.org/drawingml/2006/main" xmlns:pic="http://schemas.openxmlformats.org/drawingml/2006/picture">
            <wp:extent cx="5486400" cy="7251018"/>
            <wp:docPr id="2" name="Picture 2"/>
            <wp:cNvGraphicFramePr>
              <a:graphicFrameLocks noChangeAspect="1"/>
            </wp:cNvGraphicFramePr>
            <a:graphic>
              <a:graphicData uri="http://schemas.openxmlformats.org/drawingml/2006/picture">
                <pic:pic>
                  <pic:nvPicPr>
                    <pic:cNvPr id="0" name="A 22218-2020 karta knärot.png"/>
                    <pic:cNvPicPr/>
                  </pic:nvPicPr>
                  <pic:blipFill>
                    <a:blip r:embed="rId17"/>
                    <a:stretch>
                      <a:fillRect/>
                    </a:stretch>
                  </pic:blipFill>
                  <pic:spPr>
                    <a:xfrm>
                      <a:off x="0" y="0"/>
                      <a:ext cx="5486400" cy="725101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7453428, E 759511 i SWEREF 99 TM.</w:t>
      </w:r>
    </w:p>
    <w:p>
      <w:pPr>
        <w:pStyle w:val="Caption"/>
      </w:pP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(Nitare &amp; Skogsstyrelsen, 2019; SLU Artdatabanken, 2024).</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 – 20 ha) med relativt tät flerskiktad granskog. Arten missgynnas när flerskiktad skog omförs till enskiktade bestånd och även röjning och hård gallring är starkt negatit. Lavskrikan har relativt stora hemområden och försvinner när den äldre skogen fragmenteras, särskilt allvarligt är när kärnområdena avverkas. (Skogsstyrelsen 2016). Populationen har minskat med 20 – 40 % de senaste 30 åren. Arten försvinner successivt framför allt vid dess utbredningsgränser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24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7 § 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(Nitare, 2019; SLU Artdatabanken, 2024).</w:t>
      </w:r>
    </w:p>
    <w:p>
      <w:pPr>
        <w:pStyle w:val="Heading2"/>
      </w:pPr>
      <w:r>
        <w:t>Referenser - lappranunkel</w:t>
      </w:r>
    </w:p>
    <w:p>
      <w:r>
        <w:t xml:space="preserve">Nitare, J.,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 – 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2024-10-09</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