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52981-2023 i Älvsbyns kommun</w:t>
      </w:r>
    </w:p>
    <w:p>
      <w:r>
        <w:t>Detta dokument behandlar höga naturvärden i avverkningsanmälan A 52981-2023 i Älvsbyns kommun. Denna avverkningsanmälan inkom 2023-10-27 och omfattar 34,4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17 naturvårdsarter hittats: doftticka (VU, §8), knärot (VU, §8), lappticka (VU), ostticka (VU), rynkskinn (VU), garnlav (NT), granticka (NT), lunglav (NT), rosenticka (NT), spillkråka (NT, §4), stjärntagging (NT), tretåig hackspett (NT, §4), ullticka (NT), vedtrappmossa (NT), äggvaxskivling (NT), skinnlav (S) och stuplav (S). Av dessa är 15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8401"/>
            <wp:docPr id="1" name="Picture 1"/>
            <wp:cNvGraphicFramePr>
              <a:graphicFrameLocks noChangeAspect="1"/>
            </wp:cNvGraphicFramePr>
            <a:graphic>
              <a:graphicData uri="http://schemas.openxmlformats.org/drawingml/2006/picture">
                <pic:pic>
                  <pic:nvPicPr>
                    <pic:cNvPr id="0" name="A 52981-2023 karta.png"/>
                    <pic:cNvPicPr/>
                  </pic:nvPicPr>
                  <pic:blipFill>
                    <a:blip r:embed="rId16"/>
                    <a:stretch>
                      <a:fillRect/>
                    </a:stretch>
                  </pic:blipFill>
                  <pic:spPr>
                    <a:xfrm>
                      <a:off x="0" y="0"/>
                      <a:ext cx="5486400" cy="41884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7306709, E 763247 i SWEREF 99 TM.</w:t>
      </w:r>
    </w:p>
    <w:p>
      <w:r>
        <w:rPr>
          <w:b/>
        </w:rPr>
        <w:t>Lappticka (VU)</w:t>
      </w:r>
      <w:r>
        <w:t>, rödlistad som sårbar, är knuten till gamla granskogar med riklig förekomst av död ved. Den klassas som en “urskogsindikator” och alla skogsskötselåtgärder på eller i omedelbar närhet av lokalerna utgör ett hot (Nitare &amp; Skogsstyrelsen, 2019;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doftticka (VU, §8), knärot (VU, §8),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23 fyndplatser för knärot registrerade på Artportalen. Figur 2 visar gränserna för buffertzoner på 50 m, som behöver lämnas kring fyndplatserna för att knärotslokalerna inte ska försvinna vid en avverkning. Av det avverkningsanmälda området överlappar 7.25 ha med buffertzonerna och får av detta skäl inte avverkas.</w:t>
      </w:r>
    </w:p>
    <w:p>
      <w:pPr>
        <w:pStyle w:val="Caption"/>
      </w:pPr>
      <w:r>
        <w:drawing>
          <wp:inline xmlns:a="http://schemas.openxmlformats.org/drawingml/2006/main" xmlns:pic="http://schemas.openxmlformats.org/drawingml/2006/picture">
            <wp:extent cx="5486400" cy="5036411"/>
            <wp:docPr id="2" name="Picture 2"/>
            <wp:cNvGraphicFramePr>
              <a:graphicFrameLocks noChangeAspect="1"/>
            </wp:cNvGraphicFramePr>
            <a:graphic>
              <a:graphicData uri="http://schemas.openxmlformats.org/drawingml/2006/picture">
                <pic:pic>
                  <pic:nvPicPr>
                    <pic:cNvPr id="0" name="A 52981-2023 karta knärot.png"/>
                    <pic:cNvPicPr/>
                  </pic:nvPicPr>
                  <pic:blipFill>
                    <a:blip r:embed="rId17"/>
                    <a:stretch>
                      <a:fillRect/>
                    </a:stretch>
                  </pic:blipFill>
                  <pic:spPr>
                    <a:xfrm>
                      <a:off x="0" y="0"/>
                      <a:ext cx="5486400" cy="503641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7306709, E 763247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17 naturvårdsarter varav 15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