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klagomål behandlar höga naturvärden i avverkningsanmälan A 16092-2024 i Älvsbyns kommun som inkom 2024-04-24 och omfattar 15,1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7308604, E 762945 i SWEREF 99 TM.</w:t>
      </w:r>
    </w:p>
    <w:p>
      <w:r>
        <w:t>I och inom 25 meter från avverkningsanmälan finns fynd av 25 naturvårdsarter, varav 13 är rödlistade, 11 är fridlysta, 19 är typiska (T) och 7 är signalarter (S): fläckporing (VU, T), garnlav (VU, T), gräddporing (VU, T), knärot (VU, T, §8), norna (VU, T, §7), gammelgransskål (NT, T), kolflarnlav (NT, T), kungsörn (NT, §4), mörk kolflarnlav (NT), tallticka (NT, T), tretåig hackspett (NT, T, §4), ullticka (NT, T), vitplätt (NT), gulnål (S, T), luddlav (S, T), plattlummer (S, T, §9), skinnlav (S, T), spindelblomster (S, T, §8), stuplav (S, T), ögonpyrola (S, T), järpe (T, §4), spillkråka (T, §4), brudsporre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2094"/>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2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