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34 naturvårdsarter, varav 26 är rödlistade, 3 är fridlysta, 21 är typiska (T) och 8 är signalarter (S): fläckporing (VU, T), garnlav (VU, T), gräddporing (VU, T), knärot (VU, T, §8), skrovlig taggsvamp (VU), smalfotad taggsvamp (VU), spadskinn (VU), blågrå svartspik (NT), dropptaggsvamp (NT, T), dvärgbägarlav (NT, T), gammelgransskål (NT, T), kolflarnlav (NT, T), mjölsvärting (NT), mörk kolflarnlav (NT), nordtagging (NT), orange taggsvamp (NT, T), rosenticka (NT, T), svartvit taggsvamp (NT), talltagel (NT, T), tretåig hackspett (NT, T, §4), vaddporing (NT), vedflamlav (NT), vedskivlav (NT, T), vedtrappmossa (NT, T), vitgrynig nållav (NT), vitplätt (NT), bollvitmossa (S, T), grönpyrola (S, T), gullgröppa (S),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kolflarnlav (NT, T), orange taggsvamp (NT, T), rosenticka (NT, T), talltagel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