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34 naturvårdsarter, varav 26 är rödlistade, 3 är fridlysta, 21 är typiska (T) och 8 är signalarter (S): fläckporing (VU, T), garnlav (VU, T), gräddporing (VU, T), knärot (VU, T, §8), skrovlig taggsvamp (VU), smalfotad taggsvamp (VU), spadskinn (VU), blågrå svartspik (NT), dropptaggsvamp (NT, T), dvärgbägarlav (NT, T), gammelgransskål (NT, T), kolflarnlav (NT, T), mjölsvärting (NT), mörk kolflarnlav (NT), nordtagging (NT), orange taggsvamp (NT, T), rosenticka (NT, T), svartvit taggsvamp (NT), talltagel (NT, T), tretåig hackspett (NT, T, §4), vaddporing (NT), vedflamlav (NT), vedskivlav (NT, T), vedtrappmossa (NT, T), vitgrynig nållav (NT), vitplätt (NT), bollvitmossa (S, T), grönpyrola (S, T), gullgröppa (S),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