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34 naturvårdsarter, varav 26 är rödlistade, 3 är fridlysta, 21 är typiska (T) och 8 är signalarter (S): fläckporing (VU, T), garnlav (VU, T), gräddporing (VU, T), knärot (VU, T, §8), skrovlig taggsvamp (VU), smalfotad taggsvamp (VU), spadskinn (VU), blågrå svartspik (NT), dropptaggsvamp (NT, T), dvärgbägarlav (NT, T), gammelgransskål (NT, T), kolflarnlav (NT, T), mjölsvärting (NT), mörk kolflarnlav (NT), nordtagging (NT), orange taggsvamp (NT, T), rosenticka (NT, T), svartvit taggsvamp (NT), talltagel (NT, T), tretåig hackspett (NT, T, §4), vaddporing (NT), vedflamlav (NT), vedskivlav (NT, T), vedtrappmossa (NT, T), vitgrynig nållav (NT), vitplätt (NT), bollvitmossa (S, T), grönpyrola (S, T), gullgröppa (S),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gammelgransskål (NT, T), kolflarnlav (NT, T), orange taggsvamp (NT, T), rosenticka (NT, T), talltagel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