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539136"/>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5391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27 naturvårdsarter, varav 21 är rödlistade, 6 är fridlysta, 16 är typiska (T) och 2 är signalarter (S): garnlav (VU, T), grenlav (VU), smultronkantarell (VU), blanksvart spiklav (NT), blå taggsvamp (NT, T), blågrå svartspik (NT), brunpudrad nållav (NT, T), dropptaggsvamp (NT, T), dvärgbägarlav (NT, T), kolflarnlav (NT, T), lavskrika (NT, T, §4), motaggsvamp (NT, T), mörk kolflarnlav (NT), orange taggsvamp (NT, T), skarp dropptaggsvamp (NT), talltagel (NT, T), talltita (NT, §4), tretåig hackspett (NT, T, §4), vaxspindling (NT), vedskivlav (NT, T), vitplätt (NT), gullgröppa (S), nästlav (S, T), svart taggsvamp agg.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kolflarnlav (NT, T), lavskrika (NT, T, §4), motaggsvamp (NT, T), orange taggsvamp (NT, T), talltagel (NT, T), tretåig hackspett (NT, T, §4), vedskivlav (NT, T), nästlav (S, T), svart taggsvamp agg.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